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国标黑体" w:hAnsi="国标黑体" w:eastAsia="国标黑体" w:cs="国标黑体"/>
          <w:sz w:val="32"/>
          <w:szCs w:val="28"/>
          <w:lang w:val="en-US" w:eastAsia="zh-CN"/>
        </w:rPr>
      </w:pPr>
      <w:r>
        <w:rPr>
          <w:rFonts w:hint="eastAsia" w:ascii="国标黑体" w:hAnsi="国标黑体" w:eastAsia="国标黑体" w:cs="国标黑体"/>
          <w:sz w:val="32"/>
          <w:szCs w:val="28"/>
          <w:lang w:val="en-US" w:eastAsia="zh-CN"/>
        </w:rPr>
        <w:t>附件1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spacing w:val="0"/>
          <w:kern w:val="0"/>
          <w:sz w:val="40"/>
          <w:szCs w:val="40"/>
          <w:lang w:val="en-US" w:eastAsia="zh-CN"/>
        </w:rPr>
      </w:pP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firstLine="800" w:firstLineChars="200"/>
        <w:jc w:val="center"/>
        <w:rPr>
          <w:rFonts w:hint="eastAsia" w:ascii="方正小标宋简体" w:hAnsi="方正小标宋简体" w:eastAsia="方正小标宋简体" w:cs="方正小标宋简体"/>
          <w:bCs/>
          <w:spacing w:val="0"/>
          <w:kern w:val="0"/>
          <w:sz w:val="40"/>
          <w:szCs w:val="40"/>
          <w:lang w:val="en-US" w:eastAsia="zh-CN"/>
        </w:rPr>
      </w:pPr>
      <w:r>
        <w:rPr>
          <w:rFonts w:hint="eastAsia" w:ascii="方正小标宋简体" w:hAnsi="方正小标宋简体" w:eastAsia="方正小标宋简体" w:cs="方正小标宋简体"/>
          <w:bCs/>
          <w:spacing w:val="0"/>
          <w:kern w:val="0"/>
          <w:sz w:val="40"/>
          <w:szCs w:val="40"/>
          <w:lang w:val="en-US" w:eastAsia="zh-CN"/>
        </w:rPr>
        <w:t>2025年大中小学课程教材和语言文字</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firstLine="800" w:firstLineChars="200"/>
        <w:jc w:val="center"/>
        <w:rPr>
          <w:rFonts w:hint="eastAsia" w:ascii="方正小标宋简体" w:hAnsi="方正小标宋简体" w:eastAsia="方正小标宋简体" w:cs="方正小标宋简体"/>
          <w:bCs/>
          <w:spacing w:val="0"/>
          <w:kern w:val="0"/>
          <w:sz w:val="40"/>
          <w:szCs w:val="40"/>
          <w:lang w:val="en-US" w:eastAsia="zh-CN"/>
        </w:rPr>
      </w:pPr>
      <w:r>
        <w:rPr>
          <w:rFonts w:hint="eastAsia" w:ascii="方正小标宋简体" w:hAnsi="方正小标宋简体" w:eastAsia="方正小标宋简体" w:cs="方正小标宋简体"/>
          <w:bCs/>
          <w:spacing w:val="0"/>
          <w:kern w:val="0"/>
          <w:sz w:val="40"/>
          <w:szCs w:val="40"/>
          <w:lang w:val="en-US" w:eastAsia="zh-CN"/>
        </w:rPr>
        <w:t>专项研究课题选题指南</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firstLine="640" w:firstLineChars="200"/>
        <w:jc w:val="both"/>
        <w:rPr>
          <w:rFonts w:hint="eastAsia" w:ascii="国标黑体" w:hAnsi="国标黑体" w:eastAsia="国标黑体" w:cs="国标黑体"/>
          <w:b w:val="0"/>
          <w:bCs/>
          <w:spacing w:val="0"/>
          <w:kern w:val="0"/>
          <w:sz w:val="32"/>
          <w:szCs w:val="32"/>
          <w:lang w:eastAsia="zh-CN"/>
        </w:rPr>
      </w:pPr>
      <w:r>
        <w:rPr>
          <w:rFonts w:hint="eastAsia" w:ascii="国标黑体" w:hAnsi="国标黑体" w:eastAsia="国标黑体" w:cs="国标黑体"/>
          <w:b w:val="0"/>
          <w:bCs/>
          <w:spacing w:val="0"/>
          <w:kern w:val="0"/>
          <w:sz w:val="32"/>
          <w:szCs w:val="32"/>
          <w:lang w:eastAsia="zh-CN"/>
        </w:rPr>
        <w:t>一、重点课题</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 w:eastAsia="仿宋_GB2312" w:cs="仿宋"/>
          <w:spacing w:val="0"/>
          <w:kern w:val="1"/>
          <w:sz w:val="32"/>
          <w:szCs w:val="32"/>
          <w:u w:val="none"/>
          <w:lang w:val="en-US" w:eastAsia="zh-CN"/>
        </w:rPr>
      </w:pPr>
      <w:r>
        <w:rPr>
          <w:rFonts w:hint="eastAsia" w:ascii="仿宋_GB2312" w:hAnsi="仿宋" w:eastAsia="仿宋_GB2312" w:cs="仿宋"/>
          <w:spacing w:val="0"/>
          <w:kern w:val="1"/>
          <w:sz w:val="32"/>
          <w:szCs w:val="32"/>
          <w:u w:val="none"/>
          <w:lang w:val="en-US" w:eastAsia="zh-CN"/>
        </w:rPr>
        <w:t>1.</w:t>
      </w:r>
      <w:r>
        <w:rPr>
          <w:rFonts w:hint="eastAsia" w:ascii="仿宋_GB2312" w:eastAsia="仿宋_GB2312"/>
          <w:sz w:val="32"/>
          <w:szCs w:val="32"/>
        </w:rPr>
        <w:t>习近平新时代中国特色社会主义思想和党的二十大精神进</w:t>
      </w:r>
      <w:r>
        <w:rPr>
          <w:rFonts w:hint="eastAsia" w:ascii="仿宋_GB2312" w:eastAsia="仿宋_GB2312"/>
          <w:sz w:val="32"/>
          <w:szCs w:val="32"/>
          <w:lang w:eastAsia="zh-CN"/>
        </w:rPr>
        <w:t>课程</w:t>
      </w:r>
      <w:r>
        <w:rPr>
          <w:rFonts w:hint="eastAsia" w:ascii="仿宋_GB2312" w:eastAsia="仿宋_GB2312"/>
          <w:sz w:val="32"/>
          <w:szCs w:val="32"/>
        </w:rPr>
        <w:t>教材</w:t>
      </w:r>
      <w:r>
        <w:rPr>
          <w:rFonts w:hint="eastAsia" w:ascii="仿宋_GB2312" w:eastAsia="仿宋_GB2312"/>
          <w:sz w:val="32"/>
          <w:szCs w:val="32"/>
          <w:lang w:eastAsia="zh-CN"/>
        </w:rPr>
        <w:t>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firstLine="616" w:firstLineChars="200"/>
        <w:jc w:val="both"/>
        <w:rPr>
          <w:rFonts w:hint="eastAsia" w:ascii="仿宋_GB2312" w:hAnsi="仿宋" w:eastAsia="仿宋_GB2312" w:cs="仿宋"/>
          <w:spacing w:val="-6"/>
          <w:kern w:val="1"/>
          <w:sz w:val="32"/>
          <w:szCs w:val="32"/>
          <w:u w:val="none"/>
          <w:lang w:val="en-US" w:eastAsia="zh-CN"/>
        </w:rPr>
      </w:pPr>
      <w:r>
        <w:rPr>
          <w:rFonts w:hint="eastAsia" w:ascii="仿宋_GB2312" w:hAnsi="仿宋" w:eastAsia="仿宋_GB2312" w:cs="仿宋"/>
          <w:spacing w:val="-6"/>
          <w:kern w:val="1"/>
          <w:sz w:val="32"/>
          <w:szCs w:val="32"/>
          <w:u w:val="none"/>
          <w:lang w:val="en-US" w:eastAsia="zh-CN"/>
        </w:rPr>
        <w:t>2.习近平总书记视察甘肃和学校重要论述进课程教材研究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firstLine="616" w:firstLineChars="200"/>
        <w:jc w:val="both"/>
        <w:rPr>
          <w:rFonts w:hint="default" w:ascii="仿宋_GB2312" w:hAnsi="仿宋" w:eastAsia="仿宋_GB2312" w:cs="仿宋"/>
          <w:spacing w:val="-6"/>
          <w:kern w:val="1"/>
          <w:sz w:val="32"/>
          <w:szCs w:val="32"/>
          <w:u w:val="none"/>
          <w:lang w:val="en-US" w:eastAsia="zh-CN"/>
        </w:rPr>
      </w:pPr>
      <w:r>
        <w:rPr>
          <w:rFonts w:hint="eastAsia" w:ascii="仿宋_GB2312" w:hAnsi="仿宋" w:eastAsia="仿宋_GB2312" w:cs="仿宋"/>
          <w:spacing w:val="-6"/>
          <w:kern w:val="1"/>
          <w:sz w:val="32"/>
          <w:szCs w:val="32"/>
          <w:u w:val="none"/>
          <w:lang w:val="en-US" w:eastAsia="zh-CN"/>
        </w:rPr>
        <w:t>3.</w:t>
      </w:r>
      <w:r>
        <w:rPr>
          <w:rFonts w:hint="default" w:ascii="仿宋_GB2312" w:hAnsi="仿宋" w:eastAsia="仿宋_GB2312" w:cs="仿宋"/>
          <w:spacing w:val="-6"/>
          <w:kern w:val="1"/>
          <w:sz w:val="32"/>
          <w:szCs w:val="32"/>
          <w:u w:val="none"/>
          <w:lang w:val="en-US" w:eastAsia="zh-CN"/>
        </w:rPr>
        <w:t>国家通用语言文字教育与铸牢中华民族共同体意识的关系及路径研究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firstLine="616" w:firstLineChars="200"/>
        <w:jc w:val="both"/>
        <w:rPr>
          <w:rFonts w:hint="eastAsia" w:ascii="仿宋_GB2312" w:hAnsi="仿宋" w:eastAsia="仿宋_GB2312" w:cs="仿宋"/>
          <w:spacing w:val="-6"/>
          <w:kern w:val="1"/>
          <w:sz w:val="32"/>
          <w:szCs w:val="32"/>
          <w:u w:val="none"/>
          <w:lang w:val="en-US" w:eastAsia="zh-CN"/>
        </w:rPr>
      </w:pPr>
      <w:r>
        <w:rPr>
          <w:rFonts w:hint="eastAsia" w:ascii="仿宋_GB2312" w:hAnsi="仿宋" w:eastAsia="仿宋_GB2312" w:cs="仿宋"/>
          <w:spacing w:val="-6"/>
          <w:kern w:val="1"/>
          <w:sz w:val="32"/>
          <w:szCs w:val="32"/>
          <w:u w:val="none"/>
          <w:lang w:val="en-US" w:eastAsia="zh-CN"/>
        </w:rPr>
        <w:t>4.义务教育阶段课程管理与实施策略研究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firstLine="616" w:firstLineChars="200"/>
        <w:jc w:val="both"/>
        <w:rPr>
          <w:rFonts w:hint="default" w:ascii="仿宋_GB2312" w:hAnsi="仿宋" w:eastAsia="仿宋_GB2312" w:cs="仿宋"/>
          <w:spacing w:val="-6"/>
          <w:kern w:val="1"/>
          <w:sz w:val="32"/>
          <w:szCs w:val="32"/>
          <w:u w:val="none"/>
          <w:lang w:val="en-US" w:eastAsia="zh-CN"/>
        </w:rPr>
      </w:pPr>
      <w:r>
        <w:rPr>
          <w:rFonts w:hint="eastAsia" w:ascii="仿宋_GB2312" w:hAnsi="仿宋" w:eastAsia="仿宋_GB2312" w:cs="仿宋"/>
          <w:spacing w:val="-6"/>
          <w:kern w:val="1"/>
          <w:sz w:val="32"/>
          <w:szCs w:val="32"/>
          <w:u w:val="none"/>
          <w:lang w:val="en-US" w:eastAsia="zh-CN"/>
        </w:rPr>
        <w:t>5.</w:t>
      </w:r>
      <w:r>
        <w:rPr>
          <w:rFonts w:hint="default" w:ascii="仿宋_GB2312" w:hAnsi="仿宋" w:eastAsia="仿宋_GB2312" w:cs="仿宋"/>
          <w:spacing w:val="-6"/>
          <w:kern w:val="1"/>
          <w:sz w:val="32"/>
          <w:szCs w:val="32"/>
          <w:u w:val="none"/>
          <w:lang w:val="en-US" w:eastAsia="zh-CN"/>
        </w:rPr>
        <w:t>基于核心素养的新教材使用及教学创新研究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firstLine="616" w:firstLineChars="200"/>
        <w:jc w:val="both"/>
        <w:rPr>
          <w:rFonts w:hint="default" w:ascii="仿宋_GB2312" w:hAnsi="仿宋" w:eastAsia="仿宋_GB2312" w:cs="仿宋"/>
          <w:spacing w:val="-6"/>
          <w:kern w:val="1"/>
          <w:sz w:val="32"/>
          <w:szCs w:val="32"/>
          <w:u w:val="none"/>
          <w:lang w:val="en-US" w:eastAsia="zh-CN"/>
        </w:rPr>
      </w:pPr>
      <w:r>
        <w:rPr>
          <w:rFonts w:hint="eastAsia" w:ascii="仿宋_GB2312" w:hAnsi="仿宋" w:eastAsia="仿宋_GB2312" w:cs="仿宋"/>
          <w:spacing w:val="-6"/>
          <w:kern w:val="1"/>
          <w:sz w:val="32"/>
          <w:szCs w:val="32"/>
          <w:u w:val="none"/>
          <w:lang w:val="en-US" w:eastAsia="zh-CN"/>
        </w:rPr>
        <w:t>6.</w:t>
      </w:r>
      <w:r>
        <w:rPr>
          <w:rFonts w:hint="eastAsia" w:ascii="仿宋_GB2312" w:hAnsi="仿宋" w:eastAsia="仿宋_GB2312" w:cs="仿宋"/>
          <w:spacing w:val="0"/>
          <w:kern w:val="1"/>
          <w:sz w:val="32"/>
          <w:szCs w:val="32"/>
          <w:u w:val="none"/>
          <w:lang w:val="en-US" w:eastAsia="zh-CN"/>
        </w:rPr>
        <w:t>大中小学课程实施与教材使用监测研究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firstLine="640" w:firstLineChars="200"/>
        <w:jc w:val="both"/>
        <w:rPr>
          <w:rFonts w:hint="default" w:ascii="仿宋_GB2312" w:hAnsi="仿宋" w:eastAsia="仿宋_GB2312" w:cs="仿宋"/>
          <w:color w:val="auto"/>
          <w:spacing w:val="0"/>
          <w:kern w:val="1"/>
          <w:sz w:val="32"/>
          <w:szCs w:val="32"/>
          <w:u w:val="none"/>
          <w:lang w:val="en-US" w:eastAsia="zh-CN" w:bidi="ar-SA"/>
        </w:rPr>
      </w:pPr>
      <w:r>
        <w:rPr>
          <w:rFonts w:hint="eastAsia" w:ascii="仿宋_GB2312" w:hAnsi="仿宋" w:eastAsia="仿宋_GB2312" w:cs="仿宋"/>
          <w:color w:val="auto"/>
          <w:spacing w:val="0"/>
          <w:kern w:val="1"/>
          <w:sz w:val="32"/>
          <w:szCs w:val="32"/>
          <w:u w:val="none"/>
          <w:lang w:val="en-US" w:eastAsia="zh-CN" w:bidi="ar-SA"/>
        </w:rPr>
        <w:t>7.语言文字助力乡村振兴理论与实践研究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firstLine="640" w:firstLineChars="200"/>
        <w:jc w:val="both"/>
        <w:rPr>
          <w:rFonts w:hint="eastAsia" w:ascii="仿宋_GB2312" w:hAnsi="仿宋" w:eastAsia="仿宋_GB2312" w:cs="仿宋"/>
          <w:color w:val="auto"/>
          <w:spacing w:val="0"/>
          <w:kern w:val="1"/>
          <w:sz w:val="32"/>
          <w:szCs w:val="32"/>
          <w:u w:val="none"/>
          <w:lang w:val="en-US" w:eastAsia="zh-CN" w:bidi="ar-SA"/>
        </w:rPr>
      </w:pPr>
      <w:r>
        <w:rPr>
          <w:rFonts w:hint="eastAsia" w:ascii="仿宋_GB2312" w:hAnsi="仿宋" w:eastAsia="仿宋_GB2312" w:cs="仿宋"/>
          <w:color w:val="auto"/>
          <w:spacing w:val="0"/>
          <w:kern w:val="1"/>
          <w:sz w:val="32"/>
          <w:szCs w:val="32"/>
          <w:u w:val="none"/>
          <w:lang w:val="en-US" w:eastAsia="zh-CN" w:bidi="ar-SA"/>
        </w:rPr>
        <w:t>8.小学信息技术教材对学生数字素养培养效果研究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firstLine="640" w:firstLineChars="200"/>
        <w:jc w:val="both"/>
        <w:rPr>
          <w:rFonts w:hint="default" w:ascii="仿宋_GB2312" w:hAnsi="仿宋" w:eastAsia="仿宋_GB2312" w:cs="仿宋"/>
          <w:color w:val="auto"/>
          <w:spacing w:val="0"/>
          <w:kern w:val="1"/>
          <w:sz w:val="32"/>
          <w:szCs w:val="32"/>
          <w:u w:val="none"/>
          <w:lang w:val="en-US" w:eastAsia="zh-CN" w:bidi="ar-SA"/>
        </w:rPr>
      </w:pPr>
      <w:r>
        <w:rPr>
          <w:rFonts w:hint="eastAsia" w:ascii="仿宋_GB2312" w:hAnsi="仿宋" w:eastAsia="仿宋_GB2312" w:cs="仿宋"/>
          <w:color w:val="auto"/>
          <w:spacing w:val="0"/>
          <w:kern w:val="1"/>
          <w:sz w:val="32"/>
          <w:szCs w:val="32"/>
          <w:u w:val="none"/>
          <w:lang w:val="en-US" w:eastAsia="zh-CN" w:bidi="ar-SA"/>
        </w:rPr>
        <w:t>9.中小学校及幼儿园语言教育有效性研究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center"/>
        <w:rPr>
          <w:rFonts w:hint="eastAsia" w:ascii="仿宋_GB2312" w:hAnsi="仿宋" w:eastAsia="仿宋_GB2312" w:cs="仿宋"/>
          <w:b w:val="0"/>
          <w:bCs w:val="0"/>
          <w:color w:val="auto"/>
          <w:spacing w:val="0"/>
          <w:kern w:val="1"/>
          <w:sz w:val="32"/>
          <w:szCs w:val="32"/>
          <w:u w:val="none"/>
          <w:lang w:val="en-US" w:eastAsia="zh-CN" w:bidi="ar-SA"/>
        </w:rPr>
      </w:pPr>
      <w:r>
        <w:rPr>
          <w:rFonts w:hint="eastAsia" w:ascii="仿宋_GB2312" w:hAnsi="仿宋" w:eastAsia="仿宋_GB2312" w:cs="仿宋"/>
          <w:b w:val="0"/>
          <w:bCs w:val="0"/>
          <w:color w:val="auto"/>
          <w:spacing w:val="0"/>
          <w:kern w:val="1"/>
          <w:sz w:val="32"/>
          <w:szCs w:val="32"/>
          <w:u w:val="none"/>
          <w:lang w:val="en-US" w:eastAsia="zh-CN" w:bidi="ar-SA"/>
        </w:rPr>
        <w:t>10.基于新课标的各学科新教材使用研究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firstLine="640" w:firstLineChars="200"/>
        <w:jc w:val="both"/>
        <w:rPr>
          <w:rFonts w:hint="eastAsia" w:ascii="仿宋_GB2312" w:hAnsi="仿宋" w:eastAsia="仿宋_GB2312" w:cs="仿宋"/>
          <w:spacing w:val="0"/>
          <w:kern w:val="1"/>
          <w:sz w:val="32"/>
          <w:szCs w:val="32"/>
          <w:u w:val="none"/>
          <w:lang w:val="en-US" w:eastAsia="zh-CN"/>
        </w:rPr>
      </w:pPr>
      <w:r>
        <w:rPr>
          <w:rFonts w:hint="eastAsia" w:ascii="仿宋_GB2312" w:hAnsi="仿宋" w:eastAsia="仿宋_GB2312" w:cs="仿宋"/>
          <w:spacing w:val="0"/>
          <w:kern w:val="1"/>
          <w:sz w:val="32"/>
          <w:szCs w:val="32"/>
          <w:u w:val="none"/>
          <w:lang w:val="en-US" w:eastAsia="zh-CN"/>
        </w:rPr>
        <w:t>11.新形态教材开发与实施研究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firstLine="640" w:firstLineChars="200"/>
        <w:jc w:val="both"/>
        <w:rPr>
          <w:rFonts w:hint="eastAsia" w:ascii="仿宋_GB2312" w:hAnsi="仿宋" w:eastAsia="仿宋_GB2312" w:cs="仿宋"/>
          <w:spacing w:val="0"/>
          <w:kern w:val="1"/>
          <w:sz w:val="32"/>
          <w:szCs w:val="32"/>
          <w:u w:val="none"/>
          <w:lang w:val="en-US" w:eastAsia="zh-CN"/>
        </w:rPr>
      </w:pPr>
      <w:r>
        <w:rPr>
          <w:rFonts w:hint="eastAsia" w:ascii="仿宋_GB2312" w:hAnsi="仿宋" w:eastAsia="仿宋_GB2312" w:cs="仿宋"/>
          <w:spacing w:val="0"/>
          <w:kern w:val="1"/>
          <w:sz w:val="32"/>
          <w:szCs w:val="32"/>
          <w:u w:val="none"/>
          <w:lang w:val="en-US" w:eastAsia="zh-CN"/>
        </w:rPr>
        <w:t>12.职业教育新型教材开发与实践研究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default"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13.“一带一路”背景下的国际中文教材开发研究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14.教材建设基本理论与实践研究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15.基于产教融合的职业教育教材编写与教学改革研究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default"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16.职业教育教材评价体系构建及实践研究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17.高校教材质量保障体系构建与实践研究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18.高校教材建设的理念创新与实践路径研究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19.民族地区中小学国家通用语言文字教材使用研究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default"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20.甘肃省“十四五”规划教材使用效果研究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国标黑体" w:hAnsi="国标黑体" w:eastAsia="国标黑体" w:cs="国标黑体"/>
          <w:b w:val="0"/>
          <w:bCs/>
          <w:spacing w:val="0"/>
          <w:kern w:val="0"/>
          <w:sz w:val="32"/>
          <w:szCs w:val="32"/>
          <w:lang w:eastAsia="zh-CN"/>
        </w:rPr>
      </w:pPr>
      <w:r>
        <w:rPr>
          <w:rFonts w:hint="eastAsia" w:ascii="国标黑体" w:hAnsi="国标黑体" w:eastAsia="国标黑体" w:cs="国标黑体"/>
          <w:b w:val="0"/>
          <w:bCs/>
          <w:spacing w:val="0"/>
          <w:kern w:val="0"/>
          <w:sz w:val="32"/>
          <w:szCs w:val="32"/>
          <w:lang w:eastAsia="zh-CN"/>
        </w:rPr>
        <w:t>二、一般课题</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1.中小学校语言文字工作融入思政教育研究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2.聚焦“中华经典诵写讲”教育的语言文字推广实践研究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3.语言文字工作队伍建设研究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4.学生语言文字应用能力提升研究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5.新时代语言文字规范化工作研究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6.普通话水平测试高效管理与服务模式创新研究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7.语言文字能力提升培训模式研究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8.中华优秀传统文化在小学教材中创造性转化的路径探索</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9.职业院校优质教材培育与推广路径研究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10.高校通识课程教材建设研究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default"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11.基于项目式、跨学科主题学习的新教材使用研究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12.义务教育地方课程管理及教材建设研究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13.中小学校本课程开发与管理研究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default"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14.中小学教师新课程新教材实施能力提升研究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15.中小学课程实施与教材使用监测体系研究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default"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16.中小学教材培训管理与成效评估研究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18.基于新课标的综合实践活动、劳动与学科实践活动研究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19.中小学科学课程管理与实施研究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default"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20.中小学思政课议题式教学、活动型课程研究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default"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21.数字化转型视域下中小学课程实施策略研究</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rPr>
          <w:rFonts w:hint="default" w:ascii="仿宋_GB2312" w:hAnsi="仿宋" w:eastAsia="仿宋_GB2312" w:cs="仿宋"/>
          <w:color w:val="auto"/>
          <w:spacing w:val="0"/>
          <w:kern w:val="1"/>
          <w:sz w:val="32"/>
          <w:szCs w:val="32"/>
          <w:u w:val="none"/>
          <w:lang w:val="en-US" w:eastAsia="zh-CN" w:bidi="ar-SA"/>
        </w:rPr>
      </w:pPr>
      <w:r>
        <w:rPr>
          <w:rFonts w:hint="eastAsia" w:ascii="仿宋_GB2312" w:hAnsi="仿宋" w:eastAsia="仿宋_GB2312" w:cs="仿宋"/>
          <w:spacing w:val="0"/>
          <w:kern w:val="1"/>
          <w:sz w:val="32"/>
          <w:szCs w:val="32"/>
          <w:lang w:val="en-US" w:eastAsia="zh-CN"/>
        </w:rPr>
        <w:t>22.基于“教—学—评”一体化的单元</w:t>
      </w:r>
      <w:r>
        <w:rPr>
          <w:rFonts w:hint="eastAsia" w:ascii="仿宋_GB2312" w:hAnsi="仿宋" w:eastAsia="仿宋_GB2312" w:cs="仿宋"/>
          <w:color w:val="auto"/>
          <w:spacing w:val="0"/>
          <w:kern w:val="1"/>
          <w:sz w:val="32"/>
          <w:szCs w:val="32"/>
          <w:u w:val="none"/>
          <w:lang w:val="en-US" w:eastAsia="zh-CN" w:bidi="ar-SA"/>
        </w:rPr>
        <w:t>教学设计研究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default"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23.基于新课标的信息科技课程设计与实施研究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24.基于项目式学习的职业教育教材编写与实践研究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25.基于工匠精神的职业教育教材编写与实践研究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26.职业教育教材编写中的德育与职业伦理教育融合研究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27.职业教育教材课程思政与职业素养教育相结合研究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28.高校教材编写中的学科交叉与融合创新研究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29.基于学术前沿的高校教材内容更新与拓展研究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30.高校教材编写中的课程思政元素融入研究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31.基于学科特色的高校教材编写模式研究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32.基于学生创新创业能力培养的教材编写研究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33.高校教材与新时代人才培养模式的适配性研究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34.教材编写中的学科特色与地域文化融入研究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35.基于“双一流”建设目标的高校教材建设研究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36.高校教材编写团队建设与人才培养研究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37.智能技术与教材融合创新研究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38.教育数字化背景下课程教材设计的新理论框架研究</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firstLineChars="200"/>
        <w:rPr>
          <w:rFonts w:hint="eastAsia" w:ascii="仿宋_GB2312" w:hAnsi="仿宋" w:eastAsia="仿宋_GB2312" w:cs="仿宋"/>
          <w:spacing w:val="0"/>
          <w:kern w:val="1"/>
          <w:sz w:val="32"/>
          <w:szCs w:val="32"/>
          <w:lang w:val="en-US" w:eastAsia="zh-CN"/>
        </w:rPr>
      </w:pPr>
      <w:r>
        <w:rPr>
          <w:rFonts w:hint="eastAsia" w:ascii="仿宋_GB2312" w:hAnsi="仿宋" w:eastAsia="仿宋_GB2312" w:cs="仿宋"/>
          <w:spacing w:val="0"/>
          <w:kern w:val="1"/>
          <w:sz w:val="32"/>
          <w:szCs w:val="32"/>
          <w:lang w:val="en-US" w:eastAsia="zh-CN"/>
        </w:rPr>
        <w:t>39.数字化教材的应用效果评估研究</w:t>
      </w:r>
    </w:p>
    <w:p>
      <w:pPr>
        <w:ind w:firstLine="640" w:firstLineChars="200"/>
      </w:pPr>
      <w:bookmarkStart w:id="0" w:name="_GoBack"/>
      <w:bookmarkEnd w:id="0"/>
      <w:r>
        <w:rPr>
          <w:rFonts w:hint="eastAsia" w:ascii="仿宋_GB2312" w:hAnsi="仿宋" w:eastAsia="仿宋_GB2312" w:cs="仿宋"/>
          <w:spacing w:val="0"/>
          <w:kern w:val="1"/>
          <w:sz w:val="32"/>
          <w:szCs w:val="32"/>
          <w:lang w:val="en-US" w:eastAsia="zh-CN"/>
        </w:rPr>
        <w:t>40.</w:t>
      </w:r>
      <w:r>
        <w:rPr>
          <w:rFonts w:hint="default" w:ascii="仿宋_GB2312" w:hAnsi="仿宋" w:eastAsia="仿宋_GB2312" w:cs="仿宋"/>
          <w:spacing w:val="0"/>
          <w:kern w:val="1"/>
          <w:sz w:val="32"/>
          <w:szCs w:val="32"/>
          <w:lang w:val="en-US" w:eastAsia="zh-CN"/>
        </w:rPr>
        <w:t>人工智能技术在课程教材开发中的理论应用研究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国标黑体">
    <w:panose1 w:val="02000500000000000000"/>
    <w:charset w:val="86"/>
    <w:family w:val="auto"/>
    <w:pitch w:val="default"/>
    <w:sig w:usb0="00000001" w:usb1="08000000" w:usb2="00000000" w:usb3="00000000" w:csb0="00060007"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CAE938"/>
    <w:rsid w:val="6FCAE938"/>
    <w:rsid w:val="7793B85A"/>
    <w:rsid w:val="7A4BE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2025-10-15T00:58:00Z</dcterms:created>
  <dc:creator>gsjyt022</dc:creator>
  <cp:lastModifiedBy>gsjyt022</cp:lastModifiedBy>
  <cp:lastPrinted>2025-10-15T09:33:36Z</cp:lastPrinted>
  <dcterms:modified xsi:type="dcterms:W3CDTF">2025-10-15T09:34:51Z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2819AC9087B4A89FB210EE689541B239</vt:lpwstr>
  </property>
</Properties>
</file>