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779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center"/>
        <w:textAlignment w:val="baseline"/>
        <w:rPr>
          <w:rFonts w:hint="eastAsia" w:ascii="方正小标宋简体" w:hAnsi="方正小标宋简体" w:eastAsia="方正小标宋简体" w:cs="方正小标宋简体"/>
          <w:kern w:val="2"/>
          <w:sz w:val="44"/>
          <w:szCs w:val="44"/>
          <w:lang w:val="en-US" w:eastAsia="zh-CN" w:bidi="ar-SA"/>
        </w:rPr>
      </w:pPr>
      <w:bookmarkStart w:id="0" w:name="_Toc580"/>
      <w:bookmarkStart w:id="1" w:name="_Toc24553"/>
      <w:r>
        <w:rPr>
          <w:rFonts w:hint="eastAsia" w:ascii="方正小标宋简体" w:hAnsi="方正小标宋简体" w:eastAsia="方正小标宋简体" w:cs="方正小标宋简体"/>
          <w:kern w:val="2"/>
          <w:sz w:val="44"/>
          <w:szCs w:val="44"/>
          <w:lang w:val="en-US" w:eastAsia="zh-CN" w:bidi="ar-SA"/>
        </w:rPr>
        <w:t>第十三届全国大学生财务决策大赛</w:t>
      </w:r>
    </w:p>
    <w:p w14:paraId="065922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kern w:val="2"/>
          <w:sz w:val="44"/>
          <w:szCs w:val="44"/>
          <w:lang w:val="en-US" w:eastAsia="zh-CN" w:bidi="ar-SA"/>
        </w:rPr>
        <w:t>（甘肃赛区）（本科组）竞赛</w:t>
      </w:r>
      <w:r>
        <w:rPr>
          <w:rFonts w:hint="eastAsia" w:ascii="方正小标宋简体" w:hAnsi="方正小标宋简体" w:eastAsia="方正小标宋简体" w:cs="方正小标宋简体"/>
          <w:kern w:val="2"/>
          <w:sz w:val="44"/>
          <w:szCs w:val="44"/>
          <w:lang w:val="en-US" w:eastAsia="en-US" w:bidi="ar-SA"/>
        </w:rPr>
        <w:t>规程</w:t>
      </w:r>
    </w:p>
    <w:p w14:paraId="1C592EE3">
      <w:pPr>
        <w:keepNext w:val="0"/>
        <w:keepLines w:val="0"/>
        <w:pageBreakBefore w:val="0"/>
        <w:kinsoku/>
        <w:wordWrap/>
        <w:overflowPunct/>
        <w:topLinePunct w:val="0"/>
        <w:autoSpaceDE/>
        <w:autoSpaceDN/>
        <w:bidi w:val="0"/>
        <w:adjustRightInd/>
        <w:spacing w:line="560" w:lineRule="exact"/>
        <w:textAlignment w:val="auto"/>
        <w:outlineLvl w:val="0"/>
        <w:rPr>
          <w:rFonts w:hint="eastAsia" w:ascii="黑体" w:hAnsi="黑体" w:eastAsia="黑体" w:cs="黑体"/>
          <w:bCs/>
          <w:sz w:val="32"/>
          <w:szCs w:val="32"/>
        </w:rPr>
      </w:pPr>
    </w:p>
    <w:p w14:paraId="4B9943B0">
      <w:pPr>
        <w:keepNext w:val="0"/>
        <w:keepLines w:val="0"/>
        <w:pageBreakBefore w:val="0"/>
        <w:kinsoku/>
        <w:wordWrap/>
        <w:overflowPunct/>
        <w:topLinePunct w:val="0"/>
        <w:autoSpaceDE/>
        <w:autoSpaceDN/>
        <w:bidi w:val="0"/>
        <w:adjustRightInd/>
        <w:spacing w:line="560" w:lineRule="exact"/>
        <w:textAlignment w:val="auto"/>
        <w:outlineLvl w:val="0"/>
        <w:rPr>
          <w:rFonts w:ascii="黑体" w:hAnsi="黑体" w:eastAsia="黑体" w:cs="黑体"/>
          <w:bCs/>
          <w:sz w:val="32"/>
          <w:szCs w:val="32"/>
        </w:rPr>
      </w:pPr>
      <w:r>
        <w:rPr>
          <w:rFonts w:hint="eastAsia" w:ascii="黑体" w:hAnsi="黑体" w:eastAsia="黑体" w:cs="黑体"/>
          <w:bCs/>
          <w:sz w:val="32"/>
          <w:szCs w:val="32"/>
        </w:rPr>
        <w:t>一、赛项名称</w:t>
      </w:r>
      <w:bookmarkEnd w:id="0"/>
      <w:bookmarkEnd w:id="1"/>
    </w:p>
    <w:p w14:paraId="1B856421">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赛项名称：第十三届全国大学生财务决策大赛（甘肃赛区）</w:t>
      </w:r>
    </w:p>
    <w:p w14:paraId="4EFB73FE">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赛项组别：本科组</w:t>
      </w:r>
    </w:p>
    <w:p w14:paraId="11E6D5A3">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竞赛形式：团体赛</w:t>
      </w:r>
    </w:p>
    <w:p w14:paraId="61A4FEF7">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赛项专业大类：财经类</w:t>
      </w:r>
    </w:p>
    <w:p w14:paraId="734F3F4C">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bookmarkStart w:id="2" w:name="_Toc14887"/>
      <w:bookmarkStart w:id="3" w:name="_Toc9885"/>
      <w:r>
        <w:rPr>
          <w:rFonts w:hint="eastAsia" w:ascii="黑体" w:hAnsi="黑体" w:eastAsia="黑体" w:cs="黑体"/>
          <w:bCs/>
          <w:sz w:val="32"/>
          <w:szCs w:val="32"/>
        </w:rPr>
        <w:t>二、竞赛目的</w:t>
      </w:r>
      <w:bookmarkEnd w:id="2"/>
      <w:bookmarkEnd w:id="3"/>
    </w:p>
    <w:p w14:paraId="64DC31B4">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大赛以“财务人生，决策由我”为主题，面向本科院校学生，通过财务决策竞赛，充分展示当今大学生会计信息应用能力，决策能力、创新能力，激发大学生创新、实践的热情。</w:t>
      </w:r>
    </w:p>
    <w:p w14:paraId="6D9FD3FB">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zh-CN"/>
        </w:rPr>
      </w:pPr>
      <w:bookmarkStart w:id="4" w:name="_Toc5993"/>
      <w:bookmarkStart w:id="5" w:name="_Toc19638"/>
      <w:r>
        <w:rPr>
          <w:rFonts w:hint="eastAsia" w:ascii="仿宋_GB2312" w:hAnsi="仿宋_GB2312" w:eastAsia="仿宋_GB2312" w:cs="仿宋_GB2312"/>
          <w:sz w:val="32"/>
          <w:szCs w:val="32"/>
          <w:lang w:val="zh-CN"/>
        </w:rPr>
        <w:t>本次大赛由甘肃省教育厅主办，兰州工商学院承办，厦门网中网软件有限公司、北京东大正保科技有限公司提供技术支持。</w:t>
      </w:r>
    </w:p>
    <w:p w14:paraId="5EED803C">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r>
        <w:rPr>
          <w:rFonts w:hint="eastAsia" w:ascii="黑体" w:hAnsi="黑体" w:eastAsia="黑体" w:cs="黑体"/>
          <w:bCs/>
          <w:sz w:val="32"/>
          <w:szCs w:val="32"/>
        </w:rPr>
        <w:t>三、竞赛内容</w:t>
      </w:r>
      <w:bookmarkEnd w:id="4"/>
      <w:bookmarkEnd w:id="5"/>
    </w:p>
    <w:p w14:paraId="76289D03">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赛项内容融合大数据与会计、大数据与财务管理专业的核心课程内容，包括：企业财务会计、智能化成本核算与管理、智慧税费申报与管理、财务管理、管理会计、财务大数据分析等专业核心课程内容教学要求。竞赛分为两个环节，分别为财务决策竞赛环节和</w:t>
      </w:r>
      <w:r>
        <w:rPr>
          <w:rFonts w:hint="eastAsia" w:ascii="仿宋_GB2312" w:hAnsi="仿宋_GB2312" w:eastAsia="仿宋_GB2312" w:cs="仿宋_GB2312"/>
          <w:sz w:val="32"/>
          <w:szCs w:val="32"/>
          <w:lang w:val="en-US" w:eastAsia="zh-CN"/>
        </w:rPr>
        <w:t>数字化企业内部控制与风险管理</w:t>
      </w:r>
      <w:r>
        <w:rPr>
          <w:rFonts w:hint="eastAsia" w:ascii="仿宋_GB2312" w:hAnsi="仿宋_GB2312" w:eastAsia="仿宋_GB2312" w:cs="仿宋_GB2312"/>
          <w:sz w:val="32"/>
          <w:szCs w:val="32"/>
          <w:lang w:eastAsia="zh-CN"/>
        </w:rPr>
        <w:t>竞赛环节。</w:t>
      </w:r>
    </w:p>
    <w:p w14:paraId="28BCC4BD">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财务决策竞赛环节</w:t>
      </w:r>
    </w:p>
    <w:p w14:paraId="19FEDCC5">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竞赛平台要求参赛选手组队分角色进行比赛。在平台中，由参赛队四名选手组成学生企业（分别承担运营管理、资金管理、成本</w:t>
      </w:r>
      <w:r>
        <w:rPr>
          <w:rFonts w:hint="eastAsia" w:ascii="仿宋_GB2312" w:hAnsi="仿宋_GB2312" w:eastAsia="仿宋_GB2312" w:cs="仿宋_GB2312"/>
          <w:sz w:val="32"/>
          <w:szCs w:val="32"/>
        </w:rPr>
        <w:t>管理、财务总监角色），共同配合完成企业的一切生产经营活动。</w:t>
      </w:r>
    </w:p>
    <w:p w14:paraId="429559E2">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主要比赛内容如下：</w:t>
      </w:r>
    </w:p>
    <w:p w14:paraId="515A1F7E">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参赛选手需要创建一家工业企业，该企业注册资本为500万，经营范围为家电产品，学生模拟经营某年第一季度，财务核算遵循《企业会计准则》，并进行月度、季度纳税申报。</w:t>
      </w:r>
    </w:p>
    <w:p w14:paraId="52740987">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四名选手需对所创建的企业进行自主决策及运营管理。主要活动如下：</w:t>
      </w:r>
    </w:p>
    <w:p w14:paraId="2B89DD8C">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投产阶段的租赁厂房、租赁生产线、购买或租赁办公用房、招聘生产人员、购买原材料等。</w:t>
      </w:r>
    </w:p>
    <w:p w14:paraId="69CF7B31">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生产运营阶段的投料生产、承接订单、投放广告、发货、收款等，进行企业日常的经营活动。</w:t>
      </w:r>
    </w:p>
    <w:p w14:paraId="5B799D3A">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间，运营管理和财务总监互相配合，进行运营活动的执行审批流程，成本管理和资金管理互相配合，进行收、付款和筹资、投资等的财务审批和执行活动。月末，由成本管理开具发票和索取发票并填制成本计算表单。</w:t>
      </w:r>
    </w:p>
    <w:p w14:paraId="46C00DC1">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月末，四名选手进入财务共享服务模块，分工合作，进行财务数据处理，（对报账单据进行职业判断，系统自动生成记账凭证；诸如成本核算、期末核算等业务由学生进行核算）系统自动生成财务报表和财务指标。通过对财务报表和财务分析指标的分析，参赛选手可以评价自己企业的经营成果，对下月经营计划做出改变，同时也可查看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参赛队伍的当月系统运营成绩。</w:t>
      </w:r>
    </w:p>
    <w:p w14:paraId="4B30BD91">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次月 15 日前，学生企业需要进行月度纳税申报，进行增值税及附加税月度、其他税费（印花税、个人所得税</w:t>
      </w:r>
      <w:r>
        <w:rPr>
          <w:rFonts w:hint="default" w:ascii="仿宋_GB2312" w:hAnsi="仿宋_GB2312" w:eastAsia="仿宋_GB2312" w:cs="仿宋_GB2312"/>
          <w:sz w:val="32"/>
          <w:szCs w:val="32"/>
        </w:rPr>
        <w:t>等</w:t>
      </w:r>
      <w:r>
        <w:rPr>
          <w:rFonts w:hint="eastAsia" w:ascii="仿宋_GB2312" w:hAnsi="仿宋_GB2312" w:eastAsia="仿宋_GB2312" w:cs="仿宋_GB2312"/>
          <w:sz w:val="32"/>
          <w:szCs w:val="32"/>
        </w:rPr>
        <w:t>）的申报。次季度初时需进行企业所得税季报的申报。</w:t>
      </w:r>
    </w:p>
    <w:p w14:paraId="11749A89">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）数字化企业内部控制与风险管理竞赛环节</w:t>
      </w:r>
    </w:p>
    <w:p w14:paraId="55227D07">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本竞赛环节主要比赛内容如下：</w:t>
      </w:r>
    </w:p>
    <w:p w14:paraId="64A4EE49">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bookmarkStart w:id="6" w:name="_Toc17340"/>
      <w:bookmarkStart w:id="7" w:name="_Toc29780"/>
      <w:r>
        <w:rPr>
          <w:rFonts w:hint="eastAsia" w:ascii="仿宋_GB2312" w:hAnsi="仿宋_GB2312" w:eastAsia="仿宋_GB2312" w:cs="仿宋_GB2312"/>
          <w:sz w:val="32"/>
          <w:szCs w:val="32"/>
          <w:lang w:val="en-US" w:eastAsia="zh-CN"/>
        </w:rPr>
        <w:t>1.内部控制基础理论</w:t>
      </w:r>
    </w:p>
    <w:p w14:paraId="4D9945F0">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2.企业设立的内控 </w:t>
      </w:r>
    </w:p>
    <w:p w14:paraId="35E50ECF">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3.全面预算管理的内控 </w:t>
      </w:r>
    </w:p>
    <w:p w14:paraId="0F6B70C6">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4.筹资业务的控制 </w:t>
      </w:r>
    </w:p>
    <w:p w14:paraId="19B7E6D9">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5.投资业务的内控 </w:t>
      </w:r>
    </w:p>
    <w:p w14:paraId="11E7678A">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 xml:space="preserve">采购与付款业务的内控 </w:t>
      </w:r>
    </w:p>
    <w:p w14:paraId="525D9EA7">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 xml:space="preserve">存货与生产业务的内控 </w:t>
      </w:r>
    </w:p>
    <w:p w14:paraId="27CF00C9">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 xml:space="preserve">人力资源的内控 </w:t>
      </w:r>
    </w:p>
    <w:p w14:paraId="77C0255F">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 xml:space="preserve">销售与收款业务的内控 </w:t>
      </w:r>
    </w:p>
    <w:p w14:paraId="3316418F">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 xml:space="preserve">固定资产管理的内控 </w:t>
      </w:r>
    </w:p>
    <w:p w14:paraId="32D46BCB">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财务报告业务的内控</w:t>
      </w:r>
    </w:p>
    <w:p w14:paraId="1842AE4A">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r>
        <w:rPr>
          <w:rFonts w:hint="eastAsia" w:ascii="黑体" w:hAnsi="黑体" w:eastAsia="黑体" w:cs="黑体"/>
          <w:bCs/>
          <w:sz w:val="32"/>
          <w:szCs w:val="32"/>
        </w:rPr>
        <w:t>四、竞赛规则</w:t>
      </w:r>
      <w:bookmarkEnd w:id="6"/>
      <w:bookmarkEnd w:id="7"/>
    </w:p>
    <w:p w14:paraId="40D76C0A">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本次竞赛为团体赛，赛项分</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财务决策竞赛和数字化企业内部控制与风险管理</w:t>
      </w:r>
      <w:r>
        <w:rPr>
          <w:rFonts w:hint="default" w:ascii="仿宋_GB2312" w:hAnsi="仿宋_GB2312" w:eastAsia="仿宋_GB2312" w:cs="仿宋_GB2312"/>
          <w:sz w:val="32"/>
          <w:szCs w:val="32"/>
        </w:rPr>
        <w:t>竞赛</w:t>
      </w:r>
      <w:r>
        <w:rPr>
          <w:rFonts w:hint="eastAsia" w:ascii="仿宋_GB2312" w:hAnsi="仿宋_GB2312" w:eastAsia="仿宋_GB2312" w:cs="仿宋_GB2312"/>
          <w:sz w:val="32"/>
          <w:szCs w:val="32"/>
        </w:rPr>
        <w:t>两个环节，均采用上机操作的方式进行。</w:t>
      </w:r>
    </w:p>
    <w:p w14:paraId="143B6313">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竞赛时长为360分钟。其中，财务决策竞赛环节时</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为300分钟，数字化企业内部控制与风险管理竞赛环节时</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分钟。</w:t>
      </w:r>
    </w:p>
    <w:p w14:paraId="37A4AF05">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bookmarkStart w:id="8" w:name="_Toc13614"/>
      <w:bookmarkStart w:id="9" w:name="_Toc23272"/>
      <w:r>
        <w:rPr>
          <w:rFonts w:hint="eastAsia" w:ascii="黑体" w:hAnsi="黑体" w:eastAsia="黑体" w:cs="黑体"/>
          <w:bCs/>
          <w:sz w:val="32"/>
          <w:szCs w:val="32"/>
        </w:rPr>
        <w:t>五、竞赛流程</w:t>
      </w:r>
    </w:p>
    <w:p w14:paraId="57EAD4BD">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仿宋_GB2312" w:hAnsi="仿宋_GB2312" w:eastAsia="仿宋_GB2312" w:cs="仿宋_GB2312"/>
          <w:kern w:val="2"/>
          <w:sz w:val="32"/>
          <w:szCs w:val="32"/>
          <w:lang w:val="en-US" w:eastAsia="en-US" w:bidi="ar-SA"/>
        </w:rPr>
      </w:pPr>
      <w:r>
        <w:rPr>
          <w:rFonts w:hint="eastAsia" w:ascii="仿宋_GB2312" w:hAnsi="仿宋_GB2312" w:eastAsia="仿宋_GB2312" w:cs="仿宋_GB2312"/>
          <w:kern w:val="2"/>
          <w:sz w:val="32"/>
          <w:szCs w:val="32"/>
          <w:lang w:val="en-US" w:eastAsia="en-US" w:bidi="ar-SA"/>
        </w:rPr>
        <w:t>具体流程安排请以赛前通知为准</w:t>
      </w:r>
      <w:bookmarkEnd w:id="8"/>
      <w:bookmarkEnd w:id="9"/>
    </w:p>
    <w:tbl>
      <w:tblPr>
        <w:tblStyle w:val="7"/>
        <w:tblpPr w:leftFromText="180" w:rightFromText="180" w:vertAnchor="text" w:horzAnchor="page" w:tblpXSpec="center" w:tblpY="33"/>
        <w:tblOverlap w:val="never"/>
        <w:tblW w:w="9139" w:type="dxa"/>
        <w:jc w:val="center"/>
        <w:tblLayout w:type="fixed"/>
        <w:tblCellMar>
          <w:top w:w="0" w:type="dxa"/>
          <w:left w:w="108" w:type="dxa"/>
          <w:bottom w:w="0" w:type="dxa"/>
          <w:right w:w="108" w:type="dxa"/>
        </w:tblCellMar>
      </w:tblPr>
      <w:tblGrid>
        <w:gridCol w:w="1612"/>
        <w:gridCol w:w="1675"/>
        <w:gridCol w:w="3400"/>
        <w:gridCol w:w="2452"/>
      </w:tblGrid>
      <w:tr w14:paraId="28AD7A9E">
        <w:tblPrEx>
          <w:tblCellMar>
            <w:top w:w="0" w:type="dxa"/>
            <w:left w:w="108" w:type="dxa"/>
            <w:bottom w:w="0" w:type="dxa"/>
            <w:right w:w="108" w:type="dxa"/>
          </w:tblCellMar>
        </w:tblPrEx>
        <w:trPr>
          <w:trHeight w:val="567" w:hRule="atLeast"/>
          <w:jc w:val="center"/>
        </w:trPr>
        <w:tc>
          <w:tcPr>
            <w:tcW w:w="1612" w:type="dxa"/>
            <w:tcBorders>
              <w:top w:val="single" w:color="auto" w:sz="4" w:space="0"/>
              <w:left w:val="single" w:color="auto" w:sz="4" w:space="0"/>
              <w:bottom w:val="single" w:color="auto" w:sz="4" w:space="0"/>
              <w:right w:val="single" w:color="auto" w:sz="4" w:space="0"/>
            </w:tcBorders>
            <w:shd w:val="clear" w:color="000000" w:fill="FFFFFF"/>
            <w:vAlign w:val="center"/>
          </w:tcPr>
          <w:p w14:paraId="0C72031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日期</w:t>
            </w:r>
          </w:p>
        </w:tc>
        <w:tc>
          <w:tcPr>
            <w:tcW w:w="1675" w:type="dxa"/>
            <w:tcBorders>
              <w:top w:val="single" w:color="auto" w:sz="4" w:space="0"/>
              <w:left w:val="nil"/>
              <w:bottom w:val="single" w:color="auto" w:sz="4" w:space="0"/>
              <w:right w:val="single" w:color="auto" w:sz="4" w:space="0"/>
            </w:tcBorders>
            <w:shd w:val="clear" w:color="000000" w:fill="FFFFFF"/>
            <w:vAlign w:val="center"/>
          </w:tcPr>
          <w:p w14:paraId="175A380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c>
        <w:tc>
          <w:tcPr>
            <w:tcW w:w="3400" w:type="dxa"/>
            <w:tcBorders>
              <w:top w:val="single" w:color="auto" w:sz="4" w:space="0"/>
              <w:left w:val="nil"/>
              <w:bottom w:val="single" w:color="auto" w:sz="4" w:space="0"/>
              <w:right w:val="single" w:color="auto" w:sz="4" w:space="0"/>
            </w:tcBorders>
            <w:shd w:val="clear" w:color="000000" w:fill="FFFFFF"/>
            <w:vAlign w:val="center"/>
          </w:tcPr>
          <w:p w14:paraId="726202C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w:t>
            </w:r>
          </w:p>
        </w:tc>
        <w:tc>
          <w:tcPr>
            <w:tcW w:w="2452" w:type="dxa"/>
            <w:tcBorders>
              <w:top w:val="single" w:color="auto" w:sz="4" w:space="0"/>
              <w:left w:val="nil"/>
              <w:bottom w:val="single" w:color="auto" w:sz="4" w:space="0"/>
              <w:right w:val="single" w:color="auto" w:sz="4" w:space="0"/>
            </w:tcBorders>
            <w:shd w:val="clear" w:color="000000" w:fill="FFFFFF"/>
            <w:vAlign w:val="center"/>
          </w:tcPr>
          <w:p w14:paraId="2C8F804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参加人员</w:t>
            </w:r>
          </w:p>
        </w:tc>
      </w:tr>
      <w:tr w14:paraId="14CC1293">
        <w:tblPrEx>
          <w:tblCellMar>
            <w:top w:w="0" w:type="dxa"/>
            <w:left w:w="108" w:type="dxa"/>
            <w:bottom w:w="0" w:type="dxa"/>
            <w:right w:w="108" w:type="dxa"/>
          </w:tblCellMar>
        </w:tblPrEx>
        <w:trPr>
          <w:trHeight w:val="557" w:hRule="atLeast"/>
          <w:jc w:val="center"/>
        </w:trPr>
        <w:tc>
          <w:tcPr>
            <w:tcW w:w="16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B23633">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竞赛当日</w:t>
            </w:r>
          </w:p>
        </w:tc>
        <w:tc>
          <w:tcPr>
            <w:tcW w:w="1675" w:type="dxa"/>
            <w:tcBorders>
              <w:top w:val="single" w:color="auto" w:sz="4" w:space="0"/>
              <w:left w:val="single" w:color="auto" w:sz="4" w:space="0"/>
              <w:bottom w:val="single" w:color="auto" w:sz="4" w:space="0"/>
              <w:right w:val="single" w:color="auto" w:sz="4" w:space="0"/>
            </w:tcBorders>
            <w:shd w:val="clear" w:color="000000" w:fill="FFFFFF"/>
            <w:vAlign w:val="center"/>
          </w:tcPr>
          <w:p w14:paraId="5011CA9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7:30</w:t>
            </w:r>
          </w:p>
        </w:tc>
        <w:tc>
          <w:tcPr>
            <w:tcW w:w="3400" w:type="dxa"/>
            <w:tcBorders>
              <w:top w:val="single" w:color="auto" w:sz="4" w:space="0"/>
              <w:left w:val="single" w:color="auto" w:sz="4" w:space="0"/>
              <w:bottom w:val="single" w:color="auto" w:sz="4" w:space="0"/>
              <w:right w:val="single" w:color="auto" w:sz="4" w:space="0"/>
            </w:tcBorders>
            <w:shd w:val="clear" w:color="000000" w:fill="FFFFFF"/>
            <w:vAlign w:val="center"/>
          </w:tcPr>
          <w:p w14:paraId="2E409E56">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参赛队到达竞赛场地前集合</w:t>
            </w:r>
          </w:p>
        </w:tc>
        <w:tc>
          <w:tcPr>
            <w:tcW w:w="2452" w:type="dxa"/>
            <w:tcBorders>
              <w:top w:val="single" w:color="auto" w:sz="4" w:space="0"/>
              <w:left w:val="single" w:color="auto" w:sz="4" w:space="0"/>
              <w:bottom w:val="single" w:color="auto" w:sz="4" w:space="0"/>
              <w:right w:val="single" w:color="auto" w:sz="4" w:space="0"/>
            </w:tcBorders>
            <w:shd w:val="clear" w:color="000000" w:fill="FFFFFF"/>
            <w:vAlign w:val="center"/>
          </w:tcPr>
          <w:p w14:paraId="29B5BCD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w:t>
            </w:r>
          </w:p>
        </w:tc>
      </w:tr>
      <w:tr w14:paraId="7A8842DD">
        <w:tblPrEx>
          <w:tblCellMar>
            <w:top w:w="0" w:type="dxa"/>
            <w:left w:w="108" w:type="dxa"/>
            <w:bottom w:w="0" w:type="dxa"/>
            <w:right w:w="108" w:type="dxa"/>
          </w:tblCellMar>
        </w:tblPrEx>
        <w:trPr>
          <w:trHeight w:val="467" w:hRule="atLeast"/>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49E4929">
            <w:pPr>
              <w:jc w:val="both"/>
              <w:rPr>
                <w:rFonts w:hint="eastAsia" w:ascii="仿宋_GB2312" w:hAnsi="仿宋_GB2312" w:eastAsia="仿宋_GB2312" w:cs="仿宋_GB2312"/>
                <w:sz w:val="24"/>
                <w:szCs w:val="24"/>
              </w:rPr>
            </w:pPr>
          </w:p>
        </w:tc>
        <w:tc>
          <w:tcPr>
            <w:tcW w:w="1675" w:type="dxa"/>
            <w:tcBorders>
              <w:top w:val="single" w:color="auto" w:sz="4" w:space="0"/>
              <w:left w:val="single" w:color="auto" w:sz="4" w:space="0"/>
              <w:bottom w:val="single" w:color="auto" w:sz="4" w:space="0"/>
              <w:right w:val="single" w:color="auto" w:sz="4" w:space="0"/>
            </w:tcBorders>
            <w:shd w:val="clear" w:color="000000" w:fill="FFFFFF"/>
            <w:vAlign w:val="center"/>
          </w:tcPr>
          <w:p w14:paraId="30A7BD7A">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7:30-8:50</w:t>
            </w:r>
          </w:p>
        </w:tc>
        <w:tc>
          <w:tcPr>
            <w:tcW w:w="3400" w:type="dxa"/>
            <w:tcBorders>
              <w:top w:val="single" w:color="auto" w:sz="4" w:space="0"/>
              <w:left w:val="single" w:color="auto" w:sz="4" w:space="0"/>
              <w:bottom w:val="single" w:color="auto" w:sz="4" w:space="0"/>
              <w:right w:val="single" w:color="auto" w:sz="4" w:space="0"/>
            </w:tcBorders>
            <w:shd w:val="clear" w:color="000000" w:fill="FFFFFF"/>
            <w:vAlign w:val="center"/>
          </w:tcPr>
          <w:p w14:paraId="15BBAC0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检录进场（抽签）</w:t>
            </w:r>
          </w:p>
        </w:tc>
        <w:tc>
          <w:tcPr>
            <w:tcW w:w="2452" w:type="dxa"/>
            <w:tcBorders>
              <w:top w:val="single" w:color="auto" w:sz="4" w:space="0"/>
              <w:left w:val="single" w:color="auto" w:sz="4" w:space="0"/>
              <w:bottom w:val="single" w:color="auto" w:sz="4" w:space="0"/>
              <w:right w:val="single" w:color="auto" w:sz="4" w:space="0"/>
            </w:tcBorders>
            <w:shd w:val="clear" w:color="000000" w:fill="FFFFFF"/>
            <w:vAlign w:val="center"/>
          </w:tcPr>
          <w:p w14:paraId="4DE0669D">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裁判、参赛选手</w:t>
            </w:r>
          </w:p>
        </w:tc>
      </w:tr>
      <w:tr w14:paraId="504EDD37">
        <w:tblPrEx>
          <w:tblCellMar>
            <w:top w:w="0" w:type="dxa"/>
            <w:left w:w="108" w:type="dxa"/>
            <w:bottom w:w="0" w:type="dxa"/>
            <w:right w:w="108" w:type="dxa"/>
          </w:tblCellMar>
        </w:tblPrEx>
        <w:trPr>
          <w:trHeight w:val="512" w:hRule="atLeast"/>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8755B10">
            <w:pPr>
              <w:jc w:val="both"/>
              <w:rPr>
                <w:rFonts w:hint="eastAsia" w:ascii="仿宋_GB2312" w:hAnsi="仿宋_GB2312" w:eastAsia="仿宋_GB2312" w:cs="仿宋_GB2312"/>
                <w:sz w:val="24"/>
                <w:szCs w:val="24"/>
              </w:rPr>
            </w:pPr>
          </w:p>
        </w:tc>
        <w:tc>
          <w:tcPr>
            <w:tcW w:w="1675" w:type="dxa"/>
            <w:tcBorders>
              <w:top w:val="single" w:color="auto" w:sz="4" w:space="0"/>
              <w:left w:val="single" w:color="auto" w:sz="4" w:space="0"/>
              <w:bottom w:val="single" w:color="auto" w:sz="4" w:space="0"/>
              <w:right w:val="single" w:color="auto" w:sz="4" w:space="0"/>
            </w:tcBorders>
            <w:shd w:val="clear" w:color="000000" w:fill="FFFFFF"/>
            <w:vAlign w:val="center"/>
          </w:tcPr>
          <w:p w14:paraId="47CC324C">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9:00-12:00</w:t>
            </w:r>
          </w:p>
        </w:tc>
        <w:tc>
          <w:tcPr>
            <w:tcW w:w="3400" w:type="dxa"/>
            <w:tcBorders>
              <w:top w:val="single" w:color="auto" w:sz="4" w:space="0"/>
              <w:left w:val="single" w:color="auto" w:sz="4" w:space="0"/>
              <w:bottom w:val="single" w:color="auto" w:sz="4" w:space="0"/>
              <w:right w:val="single" w:color="auto" w:sz="4" w:space="0"/>
            </w:tcBorders>
            <w:shd w:val="clear" w:color="000000" w:fill="FFFFFF"/>
            <w:vAlign w:val="center"/>
          </w:tcPr>
          <w:p w14:paraId="1764D4DA">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财务决策</w:t>
            </w:r>
            <w:r>
              <w:rPr>
                <w:rFonts w:hint="eastAsia" w:ascii="仿宋_GB2312" w:hAnsi="仿宋_GB2312" w:eastAsia="仿宋_GB2312" w:cs="仿宋_GB2312"/>
                <w:sz w:val="24"/>
                <w:szCs w:val="24"/>
                <w:lang w:val="en-US" w:eastAsia="zh-CN"/>
              </w:rPr>
              <w:t>竞赛</w:t>
            </w:r>
            <w:r>
              <w:rPr>
                <w:rFonts w:hint="eastAsia" w:ascii="仿宋_GB2312" w:hAnsi="仿宋_GB2312" w:eastAsia="仿宋_GB2312" w:cs="仿宋_GB2312"/>
                <w:sz w:val="24"/>
                <w:szCs w:val="24"/>
              </w:rPr>
              <w:t>（第一阶段）</w:t>
            </w:r>
          </w:p>
        </w:tc>
        <w:tc>
          <w:tcPr>
            <w:tcW w:w="2452" w:type="dxa"/>
            <w:tcBorders>
              <w:top w:val="single" w:color="auto" w:sz="4" w:space="0"/>
              <w:left w:val="single" w:color="auto" w:sz="4" w:space="0"/>
              <w:bottom w:val="single" w:color="auto" w:sz="4" w:space="0"/>
              <w:right w:val="single" w:color="auto" w:sz="4" w:space="0"/>
            </w:tcBorders>
            <w:shd w:val="clear" w:color="000000" w:fill="FFFFFF"/>
            <w:vAlign w:val="center"/>
          </w:tcPr>
          <w:p w14:paraId="1EDDD773">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w:t>
            </w:r>
          </w:p>
        </w:tc>
      </w:tr>
      <w:tr w14:paraId="71803873">
        <w:tblPrEx>
          <w:tblCellMar>
            <w:top w:w="0" w:type="dxa"/>
            <w:left w:w="108" w:type="dxa"/>
            <w:bottom w:w="0" w:type="dxa"/>
            <w:right w:w="108" w:type="dxa"/>
          </w:tblCellMar>
        </w:tblPrEx>
        <w:trPr>
          <w:trHeight w:val="588" w:hRule="atLeast"/>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DEAC5F9">
            <w:pPr>
              <w:jc w:val="both"/>
              <w:rPr>
                <w:rFonts w:hint="eastAsia" w:ascii="仿宋_GB2312" w:hAnsi="仿宋_GB2312" w:eastAsia="仿宋_GB2312" w:cs="仿宋_GB2312"/>
                <w:sz w:val="24"/>
                <w:szCs w:val="24"/>
              </w:rPr>
            </w:pPr>
          </w:p>
        </w:tc>
        <w:tc>
          <w:tcPr>
            <w:tcW w:w="1675" w:type="dxa"/>
            <w:tcBorders>
              <w:top w:val="single" w:color="auto" w:sz="4" w:space="0"/>
              <w:left w:val="single" w:color="auto" w:sz="4" w:space="0"/>
              <w:bottom w:val="single" w:color="auto" w:sz="4" w:space="0"/>
              <w:right w:val="single" w:color="auto" w:sz="4" w:space="0"/>
            </w:tcBorders>
            <w:shd w:val="clear" w:color="000000" w:fill="FFFFFF"/>
            <w:vAlign w:val="center"/>
          </w:tcPr>
          <w:p w14:paraId="601319A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12:00-13:00</w:t>
            </w:r>
          </w:p>
        </w:tc>
        <w:tc>
          <w:tcPr>
            <w:tcW w:w="3400" w:type="dxa"/>
            <w:tcBorders>
              <w:top w:val="single" w:color="auto" w:sz="4" w:space="0"/>
              <w:left w:val="single" w:color="auto" w:sz="4" w:space="0"/>
              <w:bottom w:val="single" w:color="auto" w:sz="4" w:space="0"/>
              <w:right w:val="single" w:color="auto" w:sz="4" w:space="0"/>
            </w:tcBorders>
            <w:shd w:val="clear" w:color="000000" w:fill="FFFFFF"/>
            <w:vAlign w:val="center"/>
          </w:tcPr>
          <w:p w14:paraId="4A8FE7A2">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午餐与休息</w:t>
            </w:r>
          </w:p>
        </w:tc>
        <w:tc>
          <w:tcPr>
            <w:tcW w:w="2452" w:type="dxa"/>
            <w:tcBorders>
              <w:top w:val="single" w:color="auto" w:sz="4" w:space="0"/>
              <w:left w:val="single" w:color="auto" w:sz="4" w:space="0"/>
              <w:bottom w:val="single" w:color="auto" w:sz="4" w:space="0"/>
              <w:right w:val="single" w:color="auto" w:sz="4" w:space="0"/>
            </w:tcBorders>
            <w:shd w:val="clear" w:color="000000" w:fill="FFFFFF"/>
            <w:vAlign w:val="center"/>
          </w:tcPr>
          <w:p w14:paraId="59F3A43C">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参赛院校</w:t>
            </w:r>
          </w:p>
        </w:tc>
      </w:tr>
      <w:tr w14:paraId="0FD1E18B">
        <w:tblPrEx>
          <w:tblCellMar>
            <w:top w:w="0" w:type="dxa"/>
            <w:left w:w="108" w:type="dxa"/>
            <w:bottom w:w="0" w:type="dxa"/>
            <w:right w:w="108" w:type="dxa"/>
          </w:tblCellMar>
        </w:tblPrEx>
        <w:trPr>
          <w:trHeight w:val="560" w:hRule="atLeast"/>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A0E2E1D">
            <w:pPr>
              <w:jc w:val="both"/>
              <w:rPr>
                <w:rFonts w:hint="eastAsia" w:ascii="仿宋_GB2312" w:hAnsi="仿宋_GB2312" w:eastAsia="仿宋_GB2312" w:cs="仿宋_GB2312"/>
                <w:sz w:val="24"/>
                <w:szCs w:val="24"/>
              </w:rPr>
            </w:pPr>
          </w:p>
        </w:tc>
        <w:tc>
          <w:tcPr>
            <w:tcW w:w="1675" w:type="dxa"/>
            <w:tcBorders>
              <w:top w:val="single" w:color="auto" w:sz="4" w:space="0"/>
              <w:left w:val="single" w:color="auto" w:sz="4" w:space="0"/>
              <w:bottom w:val="single" w:color="auto" w:sz="4" w:space="0"/>
              <w:right w:val="single" w:color="auto" w:sz="4" w:space="0"/>
            </w:tcBorders>
            <w:shd w:val="clear" w:color="000000" w:fill="FFFFFF"/>
            <w:vAlign w:val="center"/>
          </w:tcPr>
          <w:p w14:paraId="1173E6D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13:00-15:00</w:t>
            </w:r>
          </w:p>
        </w:tc>
        <w:tc>
          <w:tcPr>
            <w:tcW w:w="3400" w:type="dxa"/>
            <w:tcBorders>
              <w:top w:val="single" w:color="auto" w:sz="4" w:space="0"/>
              <w:left w:val="single" w:color="auto" w:sz="4" w:space="0"/>
              <w:bottom w:val="single" w:color="auto" w:sz="4" w:space="0"/>
              <w:right w:val="single" w:color="auto" w:sz="4" w:space="0"/>
            </w:tcBorders>
            <w:shd w:val="clear" w:color="000000" w:fill="FFFFFF"/>
            <w:vAlign w:val="center"/>
          </w:tcPr>
          <w:p w14:paraId="4D18EB71">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财务决策</w:t>
            </w:r>
            <w:r>
              <w:rPr>
                <w:rFonts w:hint="eastAsia" w:ascii="仿宋_GB2312" w:hAnsi="仿宋_GB2312" w:eastAsia="仿宋_GB2312" w:cs="仿宋_GB2312"/>
                <w:sz w:val="24"/>
                <w:szCs w:val="24"/>
                <w:lang w:val="en-US" w:eastAsia="zh-CN"/>
              </w:rPr>
              <w:t>竞赛</w:t>
            </w:r>
            <w:r>
              <w:rPr>
                <w:rFonts w:hint="eastAsia" w:ascii="仿宋_GB2312" w:hAnsi="仿宋_GB2312" w:eastAsia="仿宋_GB2312" w:cs="仿宋_GB2312"/>
                <w:sz w:val="24"/>
                <w:szCs w:val="24"/>
              </w:rPr>
              <w:t>（第二阶段）</w:t>
            </w:r>
          </w:p>
        </w:tc>
        <w:tc>
          <w:tcPr>
            <w:tcW w:w="2452" w:type="dxa"/>
            <w:tcBorders>
              <w:top w:val="single" w:color="auto" w:sz="4" w:space="0"/>
              <w:left w:val="single" w:color="auto" w:sz="4" w:space="0"/>
              <w:bottom w:val="single" w:color="auto" w:sz="4" w:space="0"/>
              <w:right w:val="single" w:color="auto" w:sz="4" w:space="0"/>
            </w:tcBorders>
            <w:shd w:val="clear" w:color="000000" w:fill="FFFFFF"/>
            <w:vAlign w:val="center"/>
          </w:tcPr>
          <w:p w14:paraId="20051F69">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w:t>
            </w:r>
          </w:p>
        </w:tc>
      </w:tr>
      <w:tr w14:paraId="5066B90F">
        <w:tblPrEx>
          <w:tblCellMar>
            <w:top w:w="0" w:type="dxa"/>
            <w:left w:w="108" w:type="dxa"/>
            <w:bottom w:w="0" w:type="dxa"/>
            <w:right w:w="108" w:type="dxa"/>
          </w:tblCellMar>
        </w:tblPrEx>
        <w:trPr>
          <w:trHeight w:val="724" w:hRule="atLeast"/>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BD75097">
            <w:pPr>
              <w:jc w:val="both"/>
              <w:rPr>
                <w:rFonts w:hint="eastAsia" w:ascii="仿宋_GB2312" w:hAnsi="仿宋_GB2312" w:eastAsia="仿宋_GB2312" w:cs="仿宋_GB2312"/>
                <w:sz w:val="24"/>
                <w:szCs w:val="24"/>
              </w:rPr>
            </w:pPr>
          </w:p>
        </w:tc>
        <w:tc>
          <w:tcPr>
            <w:tcW w:w="1675" w:type="dxa"/>
            <w:tcBorders>
              <w:top w:val="single" w:color="auto" w:sz="4" w:space="0"/>
              <w:left w:val="single" w:color="auto" w:sz="4" w:space="0"/>
              <w:bottom w:val="single" w:color="auto" w:sz="4" w:space="0"/>
              <w:right w:val="single" w:color="auto" w:sz="4" w:space="0"/>
            </w:tcBorders>
            <w:shd w:val="clear" w:color="000000" w:fill="FFFFFF"/>
            <w:vAlign w:val="center"/>
          </w:tcPr>
          <w:p w14:paraId="1D60CBBE">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0-16</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p>
        </w:tc>
        <w:tc>
          <w:tcPr>
            <w:tcW w:w="3400" w:type="dxa"/>
            <w:tcBorders>
              <w:top w:val="single" w:color="auto" w:sz="4" w:space="0"/>
              <w:left w:val="single" w:color="auto" w:sz="4" w:space="0"/>
              <w:bottom w:val="single" w:color="auto" w:sz="4" w:space="0"/>
              <w:right w:val="single" w:color="auto" w:sz="4" w:space="0"/>
            </w:tcBorders>
            <w:shd w:val="clear" w:color="000000" w:fill="FFFFFF"/>
            <w:vAlign w:val="center"/>
          </w:tcPr>
          <w:p w14:paraId="58FFB105">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数字化企业内部控制与风险管理竞赛</w:t>
            </w:r>
          </w:p>
        </w:tc>
        <w:tc>
          <w:tcPr>
            <w:tcW w:w="2452" w:type="dxa"/>
            <w:tcBorders>
              <w:top w:val="single" w:color="auto" w:sz="4" w:space="0"/>
              <w:left w:val="single" w:color="auto" w:sz="4" w:space="0"/>
              <w:bottom w:val="single" w:color="auto" w:sz="4" w:space="0"/>
              <w:right w:val="single" w:color="auto" w:sz="4" w:space="0"/>
            </w:tcBorders>
            <w:shd w:val="clear" w:color="000000" w:fill="FFFFFF"/>
            <w:vAlign w:val="center"/>
          </w:tcPr>
          <w:p w14:paraId="58F822EF">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参赛选手</w:t>
            </w:r>
          </w:p>
        </w:tc>
      </w:tr>
      <w:tr w14:paraId="5F5DA9C9">
        <w:tblPrEx>
          <w:tblCellMar>
            <w:top w:w="0" w:type="dxa"/>
            <w:left w:w="108" w:type="dxa"/>
            <w:bottom w:w="0" w:type="dxa"/>
            <w:right w:w="108" w:type="dxa"/>
          </w:tblCellMar>
        </w:tblPrEx>
        <w:trPr>
          <w:trHeight w:val="227" w:hRule="atLeast"/>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716CC89">
            <w:pPr>
              <w:jc w:val="both"/>
              <w:rPr>
                <w:rFonts w:hint="eastAsia" w:ascii="仿宋_GB2312" w:hAnsi="仿宋_GB2312" w:eastAsia="仿宋_GB2312" w:cs="仿宋_GB2312"/>
                <w:sz w:val="24"/>
                <w:szCs w:val="24"/>
              </w:rPr>
            </w:pPr>
          </w:p>
        </w:tc>
        <w:tc>
          <w:tcPr>
            <w:tcW w:w="1675" w:type="dxa"/>
            <w:tcBorders>
              <w:top w:val="single" w:color="auto" w:sz="4" w:space="0"/>
              <w:left w:val="single" w:color="auto" w:sz="4" w:space="0"/>
              <w:bottom w:val="single" w:color="auto" w:sz="4" w:space="0"/>
              <w:right w:val="single" w:color="auto" w:sz="4" w:space="0"/>
            </w:tcBorders>
            <w:shd w:val="clear" w:color="000000" w:fill="FFFFFF"/>
            <w:vAlign w:val="center"/>
          </w:tcPr>
          <w:p w14:paraId="248F5A75">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0-18:00</w:t>
            </w:r>
          </w:p>
        </w:tc>
        <w:tc>
          <w:tcPr>
            <w:tcW w:w="3400" w:type="dxa"/>
            <w:tcBorders>
              <w:top w:val="single" w:color="auto" w:sz="4" w:space="0"/>
              <w:left w:val="single" w:color="auto" w:sz="4" w:space="0"/>
              <w:bottom w:val="single" w:color="auto" w:sz="4" w:space="0"/>
              <w:right w:val="single" w:color="auto" w:sz="4" w:space="0"/>
            </w:tcBorders>
            <w:shd w:val="clear" w:color="000000" w:fill="FFFFFF"/>
            <w:vAlign w:val="center"/>
          </w:tcPr>
          <w:p w14:paraId="4FA1F0A4">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评判、汇总成绩</w:t>
            </w:r>
          </w:p>
        </w:tc>
        <w:tc>
          <w:tcPr>
            <w:tcW w:w="2452" w:type="dxa"/>
            <w:tcBorders>
              <w:top w:val="single" w:color="auto" w:sz="4" w:space="0"/>
              <w:left w:val="single" w:color="auto" w:sz="4" w:space="0"/>
              <w:bottom w:val="single" w:color="auto" w:sz="4" w:space="0"/>
              <w:right w:val="single" w:color="auto" w:sz="4" w:space="0"/>
            </w:tcBorders>
            <w:shd w:val="clear" w:color="000000" w:fill="FFFFFF"/>
            <w:vAlign w:val="center"/>
          </w:tcPr>
          <w:p w14:paraId="6BFE48B5">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专家组、裁判组、仲裁组</w:t>
            </w:r>
          </w:p>
        </w:tc>
      </w:tr>
    </w:tbl>
    <w:p w14:paraId="687F6619">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bookmarkStart w:id="10" w:name="_Toc2750"/>
      <w:bookmarkStart w:id="11" w:name="_Toc14359"/>
      <w:r>
        <w:rPr>
          <w:rFonts w:hint="eastAsia" w:ascii="黑体" w:hAnsi="黑体" w:eastAsia="黑体" w:cs="黑体"/>
          <w:bCs/>
          <w:sz w:val="32"/>
          <w:szCs w:val="32"/>
        </w:rPr>
        <w:t>六、竞赛试题</w:t>
      </w:r>
      <w:bookmarkEnd w:id="10"/>
      <w:bookmarkEnd w:id="11"/>
    </w:p>
    <w:p w14:paraId="09678455">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为保证竞赛公平、公正。本次竞赛由大赛专家组出题，提前免费开放训练平台，使未购买软件的院校能够试用，降低参赛院校费用门槛。</w:t>
      </w:r>
    </w:p>
    <w:p w14:paraId="3F7071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hAnsi="黑体" w:eastAsia="黑体" w:cs="黑体"/>
          <w:bCs/>
          <w:sz w:val="32"/>
          <w:szCs w:val="32"/>
        </w:rPr>
      </w:pPr>
      <w:bookmarkStart w:id="12" w:name="_Toc9442"/>
      <w:bookmarkStart w:id="13" w:name="_Toc12834"/>
      <w:r>
        <w:rPr>
          <w:rFonts w:hint="eastAsia" w:ascii="黑体" w:hAnsi="黑体" w:eastAsia="黑体" w:cs="黑体"/>
          <w:bCs/>
          <w:sz w:val="32"/>
          <w:szCs w:val="32"/>
        </w:rPr>
        <w:t>七、技术规范</w:t>
      </w:r>
      <w:bookmarkEnd w:id="12"/>
      <w:bookmarkEnd w:id="13"/>
    </w:p>
    <w:p w14:paraId="23F2C010">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1.比赛根据最新会计专业教学标准确定的课程体系和教学内容，以最新相关财税法规、制度以及指引、指南和行业标准、规范为依据，时间截止于202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年12月31日前发布的文件，确定竞赛评判标准和规则，以体现大赛的规范性。</w:t>
      </w:r>
    </w:p>
    <w:p w14:paraId="10D28B25">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2.特殊情况以赛前通知</w:t>
      </w:r>
      <w:r>
        <w:rPr>
          <w:rFonts w:hint="eastAsia" w:ascii="仿宋_GB2312" w:hAnsi="仿宋_GB2312" w:eastAsia="仿宋_GB2312" w:cs="仿宋_GB2312"/>
          <w:sz w:val="32"/>
          <w:szCs w:val="32"/>
          <w:lang w:val="en-US" w:eastAsia="zh-CN"/>
        </w:rPr>
        <w:t>或试用平台</w:t>
      </w:r>
      <w:r>
        <w:rPr>
          <w:rFonts w:hint="eastAsia" w:ascii="仿宋_GB2312" w:hAnsi="仿宋_GB2312" w:eastAsia="仿宋_GB2312" w:cs="仿宋_GB2312"/>
          <w:sz w:val="32"/>
          <w:szCs w:val="32"/>
        </w:rPr>
        <w:t>确定为准。</w:t>
      </w:r>
    </w:p>
    <w:p w14:paraId="607C67FE">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bookmarkStart w:id="14" w:name="_Toc7277"/>
      <w:bookmarkStart w:id="15" w:name="_Toc25130"/>
      <w:r>
        <w:rPr>
          <w:rFonts w:hint="eastAsia" w:ascii="黑体" w:hAnsi="黑体" w:eastAsia="黑体" w:cs="黑体"/>
          <w:bCs/>
          <w:sz w:val="32"/>
          <w:szCs w:val="32"/>
        </w:rPr>
        <w:t>八、成绩评定</w:t>
      </w:r>
      <w:bookmarkEnd w:id="14"/>
      <w:bookmarkEnd w:id="15"/>
    </w:p>
    <w:p w14:paraId="05E77894">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（一）制订原则</w:t>
      </w:r>
    </w:p>
    <w:p w14:paraId="4A700502">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1.赛项评分标准制定遵循“公平、公正、公开”的原则。</w:t>
      </w:r>
    </w:p>
    <w:p w14:paraId="44AD8F43">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2.赛项平台系统自动评分，无人为因素干扰。</w:t>
      </w:r>
    </w:p>
    <w:p w14:paraId="0134435B">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（二）评分方法</w:t>
      </w:r>
    </w:p>
    <w:p w14:paraId="0E85E8E3">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财务决策竞赛</w:t>
      </w:r>
      <w:r>
        <w:rPr>
          <w:rFonts w:hint="eastAsia" w:ascii="仿宋_GB2312" w:hAnsi="仿宋_GB2312" w:eastAsia="仿宋_GB2312" w:cs="仿宋_GB2312"/>
          <w:b/>
          <w:bCs/>
          <w:sz w:val="32"/>
          <w:szCs w:val="32"/>
        </w:rPr>
        <w:t>环节</w:t>
      </w:r>
      <w:r>
        <w:rPr>
          <w:rFonts w:hint="eastAsia" w:ascii="仿宋_GB2312" w:hAnsi="仿宋_GB2312" w:eastAsia="仿宋_GB2312" w:cs="仿宋_GB2312"/>
          <w:b/>
          <w:bCs/>
          <w:sz w:val="32"/>
          <w:szCs w:val="32"/>
          <w:lang w:val="en-US" w:eastAsia="zh-CN"/>
        </w:rPr>
        <w:t>评分细则</w:t>
      </w:r>
    </w:p>
    <w:p w14:paraId="35119306">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该赛项为团队比赛，评分按照参赛团队经营的企业整体情况评分。企业整体情况评分体系分为企业运营成绩和企业稽查成绩两大部分：</w:t>
      </w:r>
    </w:p>
    <w:p w14:paraId="15B57495">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（1）企业运营成绩，主要是对企业运营指标予以综合评价，成绩由赛项平台系统自动评定。</w:t>
      </w:r>
    </w:p>
    <w:p w14:paraId="2E0F7727">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（2）企业稽查成绩，主要是从稽查的角度对参赛队经营企业的账务处理、纳税申报缴纳等方面予以综合评价，成绩由赛项平台系统自动稽查评定。</w:t>
      </w:r>
    </w:p>
    <w:p w14:paraId="717F69C1">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这两个部分的成绩总分均为100分，并按照企业运营成绩×50%+企业稽查成绩×50%折算成百分制总成绩。</w:t>
      </w:r>
    </w:p>
    <w:p w14:paraId="7F236E6E">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1）企业运营</w:t>
      </w:r>
    </w:p>
    <w:tbl>
      <w:tblPr>
        <w:tblStyle w:val="7"/>
        <w:tblpPr w:leftFromText="181" w:rightFromText="181" w:vertAnchor="text" w:tblpXSpec="center" w:tblpY="1"/>
        <w:tblOverlap w:val="never"/>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52"/>
        <w:gridCol w:w="1662"/>
        <w:gridCol w:w="3398"/>
        <w:gridCol w:w="771"/>
        <w:gridCol w:w="2549"/>
      </w:tblGrid>
      <w:tr w14:paraId="3F7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2" w:hRule="atLeast"/>
        </w:trPr>
        <w:tc>
          <w:tcPr>
            <w:tcW w:w="752" w:type="dxa"/>
            <w:shd w:val="clear" w:color="auto" w:fill="auto"/>
            <w:noWrap w:val="0"/>
            <w:vAlign w:val="center"/>
          </w:tcPr>
          <w:p w14:paraId="3C4D4F8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任务</w:t>
            </w:r>
          </w:p>
        </w:tc>
        <w:tc>
          <w:tcPr>
            <w:tcW w:w="1662" w:type="dxa"/>
            <w:shd w:val="clear" w:color="auto" w:fill="auto"/>
            <w:noWrap w:val="0"/>
            <w:vAlign w:val="center"/>
          </w:tcPr>
          <w:p w14:paraId="0ECB2F2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评分项目</w:t>
            </w:r>
          </w:p>
        </w:tc>
        <w:tc>
          <w:tcPr>
            <w:tcW w:w="3398" w:type="dxa"/>
            <w:shd w:val="clear" w:color="auto" w:fill="auto"/>
            <w:noWrap w:val="0"/>
            <w:vAlign w:val="center"/>
          </w:tcPr>
          <w:p w14:paraId="1110614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评分要点</w:t>
            </w:r>
          </w:p>
        </w:tc>
        <w:tc>
          <w:tcPr>
            <w:tcW w:w="771" w:type="dxa"/>
            <w:shd w:val="clear" w:color="auto" w:fill="auto"/>
            <w:noWrap w:val="0"/>
            <w:vAlign w:val="center"/>
          </w:tcPr>
          <w:p w14:paraId="2460308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2549" w:type="dxa"/>
            <w:shd w:val="clear" w:color="auto" w:fill="auto"/>
            <w:noWrap w:val="0"/>
            <w:vAlign w:val="center"/>
          </w:tcPr>
          <w:p w14:paraId="4CA75BC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14:paraId="248A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52" w:type="dxa"/>
            <w:vMerge w:val="restart"/>
            <w:shd w:val="clear" w:color="auto" w:fill="FFFFFF"/>
            <w:noWrap w:val="0"/>
            <w:vAlign w:val="center"/>
          </w:tcPr>
          <w:p w14:paraId="4B30A595">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企业运营</w:t>
            </w:r>
          </w:p>
        </w:tc>
        <w:tc>
          <w:tcPr>
            <w:tcW w:w="1662" w:type="dxa"/>
            <w:shd w:val="clear" w:color="auto" w:fill="FFFFFF"/>
            <w:noWrap w:val="0"/>
            <w:vAlign w:val="center"/>
          </w:tcPr>
          <w:p w14:paraId="1F459454">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流动比率</w:t>
            </w:r>
          </w:p>
        </w:tc>
        <w:tc>
          <w:tcPr>
            <w:tcW w:w="3398" w:type="dxa"/>
            <w:shd w:val="clear" w:color="auto" w:fill="FFFFFF"/>
            <w:noWrap w:val="0"/>
            <w:vAlign w:val="center"/>
          </w:tcPr>
          <w:p w14:paraId="69C0EA4E">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考察企业短期偿债能力。</w:t>
            </w:r>
          </w:p>
        </w:tc>
        <w:tc>
          <w:tcPr>
            <w:tcW w:w="771" w:type="dxa"/>
            <w:shd w:val="clear" w:color="auto" w:fill="FFFFFF"/>
            <w:noWrap w:val="0"/>
            <w:vAlign w:val="center"/>
          </w:tcPr>
          <w:p w14:paraId="0CD4EBEC">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w:t>
            </w:r>
          </w:p>
        </w:tc>
        <w:tc>
          <w:tcPr>
            <w:tcW w:w="2549" w:type="dxa"/>
            <w:shd w:val="clear" w:color="auto" w:fill="FFFFFF"/>
            <w:noWrap w:val="0"/>
            <w:vAlign w:val="center"/>
          </w:tcPr>
          <w:p w14:paraId="3F9489D5">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流动资产/流动负债</w:t>
            </w:r>
          </w:p>
        </w:tc>
      </w:tr>
      <w:tr w14:paraId="4E2E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2" w:type="dxa"/>
            <w:vMerge w:val="continue"/>
            <w:shd w:val="clear" w:color="auto" w:fill="FFFFFF"/>
            <w:noWrap w:val="0"/>
            <w:vAlign w:val="center"/>
          </w:tcPr>
          <w:p w14:paraId="76F95438">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555AF4EC">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总资产报酬率</w:t>
            </w:r>
          </w:p>
        </w:tc>
        <w:tc>
          <w:tcPr>
            <w:tcW w:w="3398" w:type="dxa"/>
            <w:shd w:val="clear" w:color="auto" w:fill="FFFFFF"/>
            <w:noWrap w:val="0"/>
            <w:vAlign w:val="center"/>
          </w:tcPr>
          <w:p w14:paraId="4F966EDE">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考察企业总资产的获利能力。</w:t>
            </w:r>
          </w:p>
        </w:tc>
        <w:tc>
          <w:tcPr>
            <w:tcW w:w="771" w:type="dxa"/>
            <w:shd w:val="clear" w:color="auto" w:fill="FFFFFF"/>
            <w:noWrap w:val="0"/>
            <w:vAlign w:val="center"/>
          </w:tcPr>
          <w:p w14:paraId="362E9FED">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w:t>
            </w:r>
          </w:p>
        </w:tc>
        <w:tc>
          <w:tcPr>
            <w:tcW w:w="2549" w:type="dxa"/>
            <w:shd w:val="clear" w:color="auto" w:fill="FFFFFF"/>
            <w:noWrap w:val="0"/>
            <w:vAlign w:val="center"/>
          </w:tcPr>
          <w:p w14:paraId="53ABE6DF">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（利润总额+利息支出）/平均资产总额</w:t>
            </w:r>
          </w:p>
        </w:tc>
      </w:tr>
      <w:tr w14:paraId="260A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52" w:type="dxa"/>
            <w:vMerge w:val="continue"/>
            <w:shd w:val="clear" w:color="auto" w:fill="FFFFFF"/>
            <w:noWrap w:val="0"/>
            <w:vAlign w:val="center"/>
          </w:tcPr>
          <w:p w14:paraId="66EA437F">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09A06C09">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总资产周转率</w:t>
            </w:r>
          </w:p>
        </w:tc>
        <w:tc>
          <w:tcPr>
            <w:tcW w:w="3398" w:type="dxa"/>
            <w:shd w:val="clear" w:color="auto" w:fill="FFFFFF"/>
            <w:noWrap w:val="0"/>
            <w:vAlign w:val="center"/>
          </w:tcPr>
          <w:p w14:paraId="12B407FF">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考察企业总资产的周转速度。</w:t>
            </w:r>
          </w:p>
        </w:tc>
        <w:tc>
          <w:tcPr>
            <w:tcW w:w="771" w:type="dxa"/>
            <w:shd w:val="clear" w:color="auto" w:fill="FFFFFF"/>
            <w:noWrap w:val="0"/>
            <w:vAlign w:val="center"/>
          </w:tcPr>
          <w:p w14:paraId="649684DD">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w:t>
            </w:r>
          </w:p>
        </w:tc>
        <w:tc>
          <w:tcPr>
            <w:tcW w:w="2549" w:type="dxa"/>
            <w:shd w:val="clear" w:color="auto" w:fill="FFFFFF"/>
            <w:noWrap w:val="0"/>
            <w:vAlign w:val="center"/>
          </w:tcPr>
          <w:p w14:paraId="777FD5B4">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营业收入/平均总资产</w:t>
            </w:r>
          </w:p>
        </w:tc>
      </w:tr>
      <w:tr w14:paraId="5411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52" w:type="dxa"/>
            <w:vMerge w:val="continue"/>
            <w:shd w:val="clear" w:color="auto" w:fill="FFFFFF"/>
            <w:noWrap w:val="0"/>
            <w:vAlign w:val="center"/>
          </w:tcPr>
          <w:p w14:paraId="01C5F866">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2DDC3CC5">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存货周转率</w:t>
            </w:r>
          </w:p>
        </w:tc>
        <w:tc>
          <w:tcPr>
            <w:tcW w:w="3398" w:type="dxa"/>
            <w:shd w:val="clear" w:color="auto" w:fill="FFFFFF"/>
            <w:noWrap w:val="0"/>
            <w:vAlign w:val="center"/>
          </w:tcPr>
          <w:p w14:paraId="6A42D4B1">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考察企业存货的周转速度。</w:t>
            </w:r>
          </w:p>
        </w:tc>
        <w:tc>
          <w:tcPr>
            <w:tcW w:w="771" w:type="dxa"/>
            <w:shd w:val="clear" w:color="auto" w:fill="FFFFFF"/>
            <w:noWrap w:val="0"/>
            <w:vAlign w:val="center"/>
          </w:tcPr>
          <w:p w14:paraId="2E4FFCC8">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w:t>
            </w:r>
          </w:p>
        </w:tc>
        <w:tc>
          <w:tcPr>
            <w:tcW w:w="2549" w:type="dxa"/>
            <w:shd w:val="clear" w:color="auto" w:fill="FFFFFF"/>
            <w:noWrap w:val="0"/>
            <w:vAlign w:val="center"/>
          </w:tcPr>
          <w:p w14:paraId="56DF1E2A">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营业成本/平均存货</w:t>
            </w:r>
          </w:p>
        </w:tc>
      </w:tr>
      <w:tr w14:paraId="639B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2" w:type="dxa"/>
            <w:vMerge w:val="continue"/>
            <w:shd w:val="clear" w:color="auto" w:fill="FFFFFF"/>
            <w:noWrap w:val="0"/>
            <w:vAlign w:val="center"/>
          </w:tcPr>
          <w:p w14:paraId="7287BA07">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4586885C">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销售净利率</w:t>
            </w:r>
          </w:p>
        </w:tc>
        <w:tc>
          <w:tcPr>
            <w:tcW w:w="3398" w:type="dxa"/>
            <w:shd w:val="clear" w:color="auto" w:fill="FFFFFF"/>
            <w:noWrap w:val="0"/>
            <w:vAlign w:val="center"/>
          </w:tcPr>
          <w:p w14:paraId="01947058">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考察企业盈利能力。</w:t>
            </w:r>
          </w:p>
        </w:tc>
        <w:tc>
          <w:tcPr>
            <w:tcW w:w="771" w:type="dxa"/>
            <w:shd w:val="clear" w:color="auto" w:fill="FFFFFF"/>
            <w:noWrap w:val="0"/>
            <w:vAlign w:val="center"/>
          </w:tcPr>
          <w:p w14:paraId="60ED083D">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w:t>
            </w:r>
          </w:p>
        </w:tc>
        <w:tc>
          <w:tcPr>
            <w:tcW w:w="2549" w:type="dxa"/>
            <w:shd w:val="clear" w:color="auto" w:fill="FFFFFF"/>
            <w:noWrap w:val="0"/>
            <w:vAlign w:val="center"/>
          </w:tcPr>
          <w:p w14:paraId="18BA6F66">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净利润/营业收入</w:t>
            </w:r>
          </w:p>
        </w:tc>
      </w:tr>
      <w:tr w14:paraId="0A78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2" w:type="dxa"/>
            <w:vMerge w:val="continue"/>
            <w:shd w:val="clear" w:color="auto" w:fill="FFFFFF"/>
            <w:noWrap w:val="0"/>
            <w:vAlign w:val="center"/>
          </w:tcPr>
          <w:p w14:paraId="5922417C">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18EFD8D5">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现金毛利率</w:t>
            </w:r>
          </w:p>
        </w:tc>
        <w:tc>
          <w:tcPr>
            <w:tcW w:w="3398" w:type="dxa"/>
            <w:shd w:val="clear" w:color="auto" w:fill="FFFFFF"/>
            <w:noWrap w:val="0"/>
            <w:vAlign w:val="center"/>
          </w:tcPr>
          <w:p w14:paraId="3D9FC78A">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考察企业经营现金流量质量。</w:t>
            </w:r>
          </w:p>
        </w:tc>
        <w:tc>
          <w:tcPr>
            <w:tcW w:w="771" w:type="dxa"/>
            <w:shd w:val="clear" w:color="auto" w:fill="FFFFFF"/>
            <w:noWrap w:val="0"/>
            <w:vAlign w:val="center"/>
          </w:tcPr>
          <w:p w14:paraId="030C4DE8">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w:t>
            </w:r>
          </w:p>
        </w:tc>
        <w:tc>
          <w:tcPr>
            <w:tcW w:w="2549" w:type="dxa"/>
            <w:shd w:val="clear" w:color="auto" w:fill="FFFFFF"/>
            <w:noWrap w:val="0"/>
            <w:vAlign w:val="center"/>
          </w:tcPr>
          <w:p w14:paraId="47210CE7">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经营活动净现金流量/经营活动现金流入量</w:t>
            </w:r>
          </w:p>
        </w:tc>
      </w:tr>
      <w:tr w14:paraId="79DC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52" w:type="dxa"/>
            <w:vMerge w:val="continue"/>
            <w:shd w:val="clear" w:color="auto" w:fill="FFFFFF"/>
            <w:noWrap w:val="0"/>
            <w:vAlign w:val="center"/>
          </w:tcPr>
          <w:p w14:paraId="5B5B79F7">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752660A9">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净现金流</w:t>
            </w:r>
          </w:p>
        </w:tc>
        <w:tc>
          <w:tcPr>
            <w:tcW w:w="3398" w:type="dxa"/>
            <w:shd w:val="clear" w:color="auto" w:fill="FFFFFF"/>
            <w:noWrap w:val="0"/>
            <w:vAlign w:val="center"/>
          </w:tcPr>
          <w:p w14:paraId="26BD134F">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考察企业现金流管理情况。</w:t>
            </w:r>
          </w:p>
        </w:tc>
        <w:tc>
          <w:tcPr>
            <w:tcW w:w="771" w:type="dxa"/>
            <w:shd w:val="clear" w:color="auto" w:fill="FFFFFF"/>
            <w:noWrap w:val="0"/>
            <w:vAlign w:val="center"/>
          </w:tcPr>
          <w:p w14:paraId="59EE8FCF">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w:t>
            </w:r>
          </w:p>
        </w:tc>
        <w:tc>
          <w:tcPr>
            <w:tcW w:w="2549" w:type="dxa"/>
            <w:shd w:val="clear" w:color="auto" w:fill="FFFFFF"/>
            <w:noWrap w:val="0"/>
            <w:vAlign w:val="center"/>
          </w:tcPr>
          <w:p w14:paraId="5D153B95">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银行存款期末余额+库存现金期末余额</w:t>
            </w:r>
          </w:p>
        </w:tc>
      </w:tr>
      <w:tr w14:paraId="77FA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dxa"/>
            <w:vMerge w:val="continue"/>
            <w:shd w:val="clear" w:color="auto" w:fill="FFFFFF"/>
            <w:noWrap w:val="0"/>
            <w:vAlign w:val="center"/>
          </w:tcPr>
          <w:p w14:paraId="58829D9F">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1649F355">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评估收益</w:t>
            </w:r>
          </w:p>
        </w:tc>
        <w:tc>
          <w:tcPr>
            <w:tcW w:w="3398" w:type="dxa"/>
            <w:shd w:val="clear" w:color="auto" w:fill="FFFFFF"/>
            <w:noWrap w:val="0"/>
            <w:vAlign w:val="center"/>
          </w:tcPr>
          <w:p w14:paraId="2D14F4C2">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该指标根据系统中的市场价格（存货按系统价格折算），评估企业全部资产和负债，计算出净资产市值。</w:t>
            </w:r>
          </w:p>
        </w:tc>
        <w:tc>
          <w:tcPr>
            <w:tcW w:w="771" w:type="dxa"/>
            <w:shd w:val="clear" w:color="auto" w:fill="FFFFFF"/>
            <w:noWrap w:val="0"/>
            <w:vAlign w:val="center"/>
          </w:tcPr>
          <w:p w14:paraId="11037D01">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20</w:t>
            </w:r>
          </w:p>
        </w:tc>
        <w:tc>
          <w:tcPr>
            <w:tcW w:w="2549" w:type="dxa"/>
            <w:shd w:val="clear" w:color="auto" w:fill="FFFFFF"/>
            <w:noWrap w:val="0"/>
            <w:vAlign w:val="center"/>
          </w:tcPr>
          <w:p w14:paraId="186C7008">
            <w:pPr>
              <w:jc w:val="both"/>
              <w:rPr>
                <w:rFonts w:hint="eastAsia" w:ascii="仿宋_GB2312" w:hAnsi="仿宋_GB2312" w:eastAsia="仿宋_GB2312" w:cs="仿宋_GB2312"/>
                <w:sz w:val="24"/>
                <w:szCs w:val="24"/>
                <w:lang w:val="zh-CN"/>
              </w:rPr>
            </w:pPr>
          </w:p>
        </w:tc>
      </w:tr>
      <w:tr w14:paraId="1E89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52" w:type="dxa"/>
            <w:vMerge w:val="continue"/>
            <w:shd w:val="clear" w:color="auto" w:fill="FFFFFF"/>
            <w:noWrap w:val="0"/>
            <w:vAlign w:val="center"/>
          </w:tcPr>
          <w:p w14:paraId="07D27E40">
            <w:pPr>
              <w:jc w:val="both"/>
              <w:rPr>
                <w:rFonts w:hint="eastAsia" w:ascii="仿宋_GB2312" w:hAnsi="仿宋_GB2312" w:eastAsia="仿宋_GB2312" w:cs="仿宋_GB2312"/>
                <w:sz w:val="24"/>
                <w:szCs w:val="24"/>
                <w:lang w:val="zh-CN"/>
              </w:rPr>
            </w:pPr>
          </w:p>
        </w:tc>
        <w:tc>
          <w:tcPr>
            <w:tcW w:w="1662" w:type="dxa"/>
            <w:shd w:val="clear" w:color="auto" w:fill="FFFFFF"/>
            <w:noWrap w:val="0"/>
            <w:vAlign w:val="center"/>
          </w:tcPr>
          <w:p w14:paraId="78F4F63A">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信誉值</w:t>
            </w:r>
          </w:p>
        </w:tc>
        <w:tc>
          <w:tcPr>
            <w:tcW w:w="3398" w:type="dxa"/>
            <w:shd w:val="clear" w:color="auto" w:fill="FFFFFF"/>
            <w:noWrap w:val="0"/>
            <w:vAlign w:val="center"/>
          </w:tcPr>
          <w:p w14:paraId="63BB7EC8">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该指标从企业运营界面取数，考核企业付款、发货方面的履约情况。</w:t>
            </w:r>
          </w:p>
        </w:tc>
        <w:tc>
          <w:tcPr>
            <w:tcW w:w="771" w:type="dxa"/>
            <w:shd w:val="clear" w:color="auto" w:fill="FFFFFF"/>
            <w:noWrap w:val="0"/>
            <w:vAlign w:val="center"/>
          </w:tcPr>
          <w:p w14:paraId="0824D868">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w:t>
            </w:r>
          </w:p>
        </w:tc>
        <w:tc>
          <w:tcPr>
            <w:tcW w:w="2549" w:type="dxa"/>
            <w:shd w:val="clear" w:color="auto" w:fill="FFFFFF"/>
            <w:noWrap w:val="0"/>
            <w:vAlign w:val="center"/>
          </w:tcPr>
          <w:p w14:paraId="79E49501">
            <w:pPr>
              <w:jc w:val="both"/>
              <w:rPr>
                <w:rFonts w:hint="eastAsia" w:ascii="仿宋_GB2312" w:hAnsi="仿宋_GB2312" w:eastAsia="仿宋_GB2312" w:cs="仿宋_GB2312"/>
                <w:sz w:val="24"/>
                <w:szCs w:val="24"/>
                <w:lang w:val="zh-CN"/>
              </w:rPr>
            </w:pPr>
          </w:p>
        </w:tc>
      </w:tr>
      <w:tr w14:paraId="2734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12" w:type="dxa"/>
            <w:gridSpan w:val="3"/>
            <w:shd w:val="clear" w:color="auto" w:fill="FFFFFF"/>
            <w:noWrap w:val="0"/>
            <w:vAlign w:val="center"/>
          </w:tcPr>
          <w:p w14:paraId="16C89C9F">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合计</w:t>
            </w:r>
          </w:p>
        </w:tc>
        <w:tc>
          <w:tcPr>
            <w:tcW w:w="771" w:type="dxa"/>
            <w:shd w:val="clear" w:color="auto" w:fill="FFFFFF"/>
            <w:noWrap w:val="0"/>
            <w:vAlign w:val="center"/>
          </w:tcPr>
          <w:p w14:paraId="1FA4EAA0">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100</w:t>
            </w:r>
          </w:p>
        </w:tc>
        <w:tc>
          <w:tcPr>
            <w:tcW w:w="2549" w:type="dxa"/>
            <w:shd w:val="clear" w:color="auto" w:fill="FFFFFF"/>
            <w:noWrap w:val="0"/>
            <w:vAlign w:val="center"/>
          </w:tcPr>
          <w:p w14:paraId="5691DCDB">
            <w:pPr>
              <w:rPr>
                <w:rFonts w:hint="eastAsia" w:ascii="仿宋" w:hAnsi="仿宋" w:eastAsia="仿宋" w:cs="仿宋"/>
                <w:b w:val="0"/>
                <w:bCs w:val="0"/>
                <w:sz w:val="24"/>
                <w:szCs w:val="24"/>
                <w:lang w:val="zh-CN"/>
              </w:rPr>
            </w:pPr>
          </w:p>
        </w:tc>
      </w:tr>
    </w:tbl>
    <w:p w14:paraId="03F02B69">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2）企业稽查</w:t>
      </w:r>
    </w:p>
    <w:tbl>
      <w:tblPr>
        <w:tblStyle w:val="7"/>
        <w:tblpPr w:leftFromText="181" w:rightFromText="181" w:vertAnchor="text" w:horzAnchor="margin" w:tblpX="-313" w:tblpY="28"/>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80"/>
        <w:gridCol w:w="1635"/>
        <w:gridCol w:w="3420"/>
        <w:gridCol w:w="795"/>
        <w:gridCol w:w="2520"/>
      </w:tblGrid>
      <w:tr w14:paraId="7967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1" w:hRule="atLeast"/>
        </w:trPr>
        <w:tc>
          <w:tcPr>
            <w:tcW w:w="780" w:type="dxa"/>
            <w:shd w:val="clear" w:color="auto" w:fill="auto"/>
            <w:noWrap w:val="0"/>
            <w:vAlign w:val="center"/>
          </w:tcPr>
          <w:p w14:paraId="75A9D9B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任务</w:t>
            </w:r>
          </w:p>
        </w:tc>
        <w:tc>
          <w:tcPr>
            <w:tcW w:w="1635" w:type="dxa"/>
            <w:shd w:val="clear" w:color="auto" w:fill="auto"/>
            <w:noWrap w:val="0"/>
            <w:vAlign w:val="center"/>
          </w:tcPr>
          <w:p w14:paraId="162BA47B">
            <w:pPr>
              <w:jc w:val="center"/>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rPr>
              <w:t>评分项目</w:t>
            </w:r>
          </w:p>
        </w:tc>
        <w:tc>
          <w:tcPr>
            <w:tcW w:w="3420" w:type="dxa"/>
            <w:shd w:val="clear" w:color="auto" w:fill="auto"/>
            <w:noWrap w:val="0"/>
            <w:vAlign w:val="center"/>
          </w:tcPr>
          <w:p w14:paraId="563E802E">
            <w:pPr>
              <w:jc w:val="center"/>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rPr>
              <w:t>评分要点</w:t>
            </w:r>
          </w:p>
        </w:tc>
        <w:tc>
          <w:tcPr>
            <w:tcW w:w="795" w:type="dxa"/>
            <w:shd w:val="clear" w:color="auto" w:fill="auto"/>
            <w:noWrap w:val="0"/>
            <w:vAlign w:val="center"/>
          </w:tcPr>
          <w:p w14:paraId="440E258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2520" w:type="dxa"/>
            <w:shd w:val="clear" w:color="auto" w:fill="auto"/>
            <w:noWrap w:val="0"/>
            <w:vAlign w:val="center"/>
          </w:tcPr>
          <w:p w14:paraId="4CDE20A0">
            <w:pPr>
              <w:jc w:val="center"/>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rPr>
              <w:t>备注</w:t>
            </w:r>
          </w:p>
        </w:tc>
      </w:tr>
      <w:tr w14:paraId="289A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780" w:type="dxa"/>
            <w:vMerge w:val="restart"/>
            <w:shd w:val="clear" w:color="auto" w:fill="FFFFFF"/>
            <w:noWrap w:val="0"/>
            <w:vAlign w:val="center"/>
          </w:tcPr>
          <w:p w14:paraId="7D1A0E5F">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企业</w:t>
            </w:r>
          </w:p>
          <w:p w14:paraId="61457EB9">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稽查</w:t>
            </w:r>
          </w:p>
        </w:tc>
        <w:tc>
          <w:tcPr>
            <w:tcW w:w="1635" w:type="dxa"/>
            <w:shd w:val="clear" w:color="auto" w:fill="FFFFFF"/>
            <w:noWrap w:val="0"/>
            <w:vAlign w:val="center"/>
          </w:tcPr>
          <w:p w14:paraId="47FB1A07">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财务数据处理情况</w:t>
            </w:r>
          </w:p>
        </w:tc>
        <w:tc>
          <w:tcPr>
            <w:tcW w:w="3420" w:type="dxa"/>
            <w:shd w:val="clear" w:color="auto" w:fill="FFFFFF"/>
            <w:noWrap w:val="0"/>
            <w:vAlign w:val="center"/>
          </w:tcPr>
          <w:p w14:paraId="4CDE7819">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系统分别从成本核算、财务报表和财产清查方面进行自动稽查。成本核算主要考察企业工资分配表、制造费用分配表及完工产品与在产品分配表的填制情况；财务报表主要按照企业资产负债表部分资产、负债、权益项目最后一个月的时点数字给分，按照利润表每月时期数据累计给分。</w:t>
            </w:r>
          </w:p>
        </w:tc>
        <w:tc>
          <w:tcPr>
            <w:tcW w:w="795" w:type="dxa"/>
            <w:shd w:val="clear" w:color="auto" w:fill="FFFFFF"/>
            <w:noWrap w:val="0"/>
            <w:vAlign w:val="center"/>
          </w:tcPr>
          <w:p w14:paraId="5A360203">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50</w:t>
            </w:r>
          </w:p>
        </w:tc>
        <w:tc>
          <w:tcPr>
            <w:tcW w:w="2520" w:type="dxa"/>
            <w:shd w:val="clear" w:color="auto" w:fill="FFFFFF"/>
            <w:noWrap w:val="0"/>
            <w:vAlign w:val="center"/>
          </w:tcPr>
          <w:p w14:paraId="2FCA4EDC">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参赛者每月都应当填制成本核算表，错填或漏填均不得分；报表填列错误或漏报项目均不得分。其中系统自动生成记账凭证的部分根据判断行为判分，错误判断扣分。</w:t>
            </w:r>
          </w:p>
        </w:tc>
      </w:tr>
      <w:tr w14:paraId="6C87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780" w:type="dxa"/>
            <w:vMerge w:val="continue"/>
            <w:shd w:val="clear" w:color="auto" w:fill="FFFFFF"/>
            <w:noWrap w:val="0"/>
            <w:vAlign w:val="center"/>
          </w:tcPr>
          <w:p w14:paraId="33CB2C84">
            <w:pPr>
              <w:jc w:val="both"/>
              <w:rPr>
                <w:rFonts w:hint="eastAsia" w:ascii="仿宋_GB2312" w:hAnsi="仿宋_GB2312" w:eastAsia="仿宋_GB2312" w:cs="仿宋_GB2312"/>
                <w:sz w:val="24"/>
                <w:szCs w:val="24"/>
                <w:lang w:val="zh-CN"/>
              </w:rPr>
            </w:pPr>
          </w:p>
        </w:tc>
        <w:tc>
          <w:tcPr>
            <w:tcW w:w="1635" w:type="dxa"/>
            <w:shd w:val="clear" w:color="auto" w:fill="FFFFFF"/>
            <w:noWrap w:val="0"/>
            <w:vAlign w:val="center"/>
          </w:tcPr>
          <w:p w14:paraId="459B1344">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纳税申报与缴纳情况</w:t>
            </w:r>
          </w:p>
        </w:tc>
        <w:tc>
          <w:tcPr>
            <w:tcW w:w="3420" w:type="dxa"/>
            <w:shd w:val="clear" w:color="auto" w:fill="FFFFFF"/>
            <w:noWrap w:val="0"/>
            <w:vAlign w:val="center"/>
          </w:tcPr>
          <w:p w14:paraId="76D7984A">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主要考察参赛选手对增值税</w:t>
            </w:r>
            <w:r>
              <w:rPr>
                <w:rFonts w:hint="eastAsia" w:ascii="仿宋_GB2312" w:hAnsi="仿宋_GB2312" w:eastAsia="仿宋_GB2312" w:cs="仿宋_GB2312"/>
                <w:sz w:val="24"/>
                <w:szCs w:val="24"/>
                <w:lang w:val="en-US" w:eastAsia="zh-CN"/>
              </w:rPr>
              <w:t>及附加税</w:t>
            </w:r>
            <w:r>
              <w:rPr>
                <w:rFonts w:hint="eastAsia" w:ascii="仿宋_GB2312" w:hAnsi="仿宋_GB2312" w:eastAsia="仿宋_GB2312" w:cs="仿宋_GB2312"/>
                <w:sz w:val="24"/>
                <w:szCs w:val="24"/>
                <w:lang w:val="zh-CN"/>
              </w:rPr>
              <w:t>、所得税及其他税种的申报缴纳情况。增值税</w:t>
            </w:r>
            <w:r>
              <w:rPr>
                <w:rFonts w:hint="eastAsia" w:ascii="仿宋_GB2312" w:hAnsi="仿宋_GB2312" w:eastAsia="仿宋_GB2312" w:cs="仿宋_GB2312"/>
                <w:sz w:val="24"/>
                <w:szCs w:val="24"/>
                <w:lang w:val="en-US" w:eastAsia="zh-CN"/>
              </w:rPr>
              <w:t>及附加税</w:t>
            </w:r>
            <w:r>
              <w:rPr>
                <w:rFonts w:hint="eastAsia" w:ascii="仿宋_GB2312" w:hAnsi="仿宋_GB2312" w:eastAsia="仿宋_GB2312" w:cs="仿宋_GB2312"/>
                <w:sz w:val="24"/>
                <w:szCs w:val="24"/>
                <w:lang w:val="zh-CN"/>
              </w:rPr>
              <w:t>主要考察增值税</w:t>
            </w:r>
            <w:r>
              <w:rPr>
                <w:rFonts w:hint="eastAsia" w:ascii="仿宋_GB2312" w:hAnsi="仿宋_GB2312" w:eastAsia="仿宋_GB2312" w:cs="仿宋_GB2312"/>
                <w:sz w:val="24"/>
                <w:szCs w:val="24"/>
                <w:lang w:val="en-US" w:eastAsia="zh-CN"/>
              </w:rPr>
              <w:t>及附加税</w:t>
            </w:r>
            <w:r>
              <w:rPr>
                <w:rFonts w:hint="eastAsia" w:ascii="仿宋_GB2312" w:hAnsi="仿宋_GB2312" w:eastAsia="仿宋_GB2312" w:cs="仿宋_GB2312"/>
                <w:sz w:val="24"/>
                <w:szCs w:val="24"/>
                <w:lang w:val="zh-CN"/>
              </w:rPr>
              <w:t>业务的纳税申报缴纳情况；所得税主要考察所得税季报的申报与缴纳情况；其他税种主要考察</w:t>
            </w:r>
            <w:r>
              <w:rPr>
                <w:rFonts w:hint="eastAsia" w:ascii="仿宋_GB2312" w:hAnsi="仿宋_GB2312" w:eastAsia="仿宋_GB2312" w:cs="仿宋_GB2312"/>
                <w:sz w:val="24"/>
                <w:szCs w:val="24"/>
                <w:lang w:val="en-US" w:eastAsia="zh-CN"/>
              </w:rPr>
              <w:t>个人所得税</w:t>
            </w:r>
            <w:r>
              <w:rPr>
                <w:rFonts w:hint="eastAsia" w:ascii="仿宋_GB2312" w:hAnsi="仿宋_GB2312" w:eastAsia="仿宋_GB2312" w:cs="仿宋_GB2312"/>
                <w:sz w:val="24"/>
                <w:szCs w:val="24"/>
                <w:lang w:val="zh-CN"/>
              </w:rPr>
              <w:t>、印花税等申报缴纳情况。</w:t>
            </w:r>
          </w:p>
        </w:tc>
        <w:tc>
          <w:tcPr>
            <w:tcW w:w="795" w:type="dxa"/>
            <w:shd w:val="clear" w:color="auto" w:fill="FFFFFF"/>
            <w:noWrap w:val="0"/>
            <w:vAlign w:val="center"/>
          </w:tcPr>
          <w:p w14:paraId="5737321E">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50</w:t>
            </w:r>
          </w:p>
        </w:tc>
        <w:tc>
          <w:tcPr>
            <w:tcW w:w="2520" w:type="dxa"/>
            <w:shd w:val="clear" w:color="auto" w:fill="FFFFFF"/>
            <w:noWrap w:val="0"/>
            <w:vAlign w:val="center"/>
          </w:tcPr>
          <w:p w14:paraId="0141FBDD">
            <w:pPr>
              <w:jc w:val="both"/>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申报表错填或漏填均不得分。</w:t>
            </w:r>
          </w:p>
        </w:tc>
      </w:tr>
      <w:tr w14:paraId="12C6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835" w:type="dxa"/>
            <w:gridSpan w:val="3"/>
            <w:shd w:val="clear" w:color="auto" w:fill="FFFFFF"/>
            <w:noWrap w:val="0"/>
            <w:vAlign w:val="center"/>
          </w:tcPr>
          <w:p w14:paraId="4D6B3492">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合计</w:t>
            </w:r>
          </w:p>
        </w:tc>
        <w:tc>
          <w:tcPr>
            <w:tcW w:w="795" w:type="dxa"/>
            <w:shd w:val="clear" w:color="auto" w:fill="FFFFFF"/>
            <w:noWrap w:val="0"/>
            <w:vAlign w:val="center"/>
          </w:tcPr>
          <w:p w14:paraId="76710DDC">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100</w:t>
            </w:r>
          </w:p>
        </w:tc>
        <w:tc>
          <w:tcPr>
            <w:tcW w:w="2520" w:type="dxa"/>
            <w:shd w:val="clear" w:color="auto" w:fill="FFFFFF"/>
            <w:noWrap w:val="0"/>
            <w:vAlign w:val="center"/>
          </w:tcPr>
          <w:p w14:paraId="3F0DBF40">
            <w:pPr>
              <w:jc w:val="both"/>
              <w:rPr>
                <w:rFonts w:hint="eastAsia" w:ascii="仿宋_GB2312" w:hAnsi="仿宋_GB2312" w:eastAsia="仿宋_GB2312" w:cs="仿宋_GB2312"/>
                <w:sz w:val="24"/>
                <w:szCs w:val="24"/>
                <w:lang w:val="zh-CN"/>
              </w:rPr>
            </w:pPr>
          </w:p>
        </w:tc>
      </w:tr>
    </w:tbl>
    <w:p w14:paraId="3E04F418">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2.数字化企业内部控制与风险管理</w:t>
      </w:r>
      <w:r>
        <w:rPr>
          <w:rFonts w:hint="default" w:ascii="仿宋_GB2312" w:hAnsi="仿宋_GB2312" w:eastAsia="仿宋_GB2312" w:cs="仿宋_GB2312"/>
          <w:b/>
          <w:bCs/>
          <w:sz w:val="32"/>
          <w:szCs w:val="32"/>
        </w:rPr>
        <w:t>竞赛环节评分细则</w:t>
      </w:r>
    </w:p>
    <w:p w14:paraId="088053D7">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数字化企业</w:t>
      </w:r>
      <w:r>
        <w:rPr>
          <w:rFonts w:hint="default" w:ascii="仿宋_GB2312" w:hAnsi="仿宋_GB2312" w:eastAsia="仿宋_GB2312" w:cs="仿宋_GB2312"/>
          <w:sz w:val="32"/>
          <w:szCs w:val="32"/>
          <w:lang w:eastAsia="zh-CN"/>
        </w:rPr>
        <w:t>内部控制与风险管理</w:t>
      </w:r>
      <w:r>
        <w:rPr>
          <w:rFonts w:hint="eastAsia" w:ascii="仿宋_GB2312" w:hAnsi="仿宋_GB2312" w:eastAsia="仿宋_GB2312" w:cs="仿宋_GB2312"/>
          <w:sz w:val="32"/>
          <w:szCs w:val="32"/>
          <w:lang w:eastAsia="zh-CN"/>
        </w:rPr>
        <w:t>竞赛环节共400分，采用个人赛的形式进行，每位参赛选手100分。</w:t>
      </w:r>
      <w:r>
        <w:rPr>
          <w:rFonts w:hint="default" w:ascii="仿宋_GB2312" w:hAnsi="仿宋_GB2312" w:eastAsia="仿宋_GB2312" w:cs="仿宋_GB2312"/>
          <w:sz w:val="32"/>
          <w:szCs w:val="32"/>
          <w:lang w:eastAsia="zh-CN"/>
        </w:rPr>
        <w:t>每个团队的本环节最终成绩=团队分数总和/4。</w:t>
      </w:r>
      <w:r>
        <w:rPr>
          <w:rFonts w:hint="eastAsia" w:ascii="仿宋_GB2312" w:hAnsi="仿宋_GB2312" w:eastAsia="仿宋_GB2312" w:cs="仿宋_GB2312"/>
          <w:sz w:val="32"/>
          <w:szCs w:val="32"/>
          <w:lang w:eastAsia="zh-CN"/>
        </w:rPr>
        <w:t>《数字化企业内部控制与风险管理综合教学平台》作为自动阅卷的比赛平台。单套试卷题型及分值如下：</w:t>
      </w:r>
    </w:p>
    <w:tbl>
      <w:tblPr>
        <w:tblStyle w:val="12"/>
        <w:tblW w:w="8728"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4"/>
        <w:gridCol w:w="3340"/>
        <w:gridCol w:w="2784"/>
      </w:tblGrid>
      <w:tr w14:paraId="59D1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604" w:type="dxa"/>
            <w:vAlign w:val="center"/>
          </w:tcPr>
          <w:p w14:paraId="7AB9F782">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题型</w:t>
            </w:r>
          </w:p>
        </w:tc>
        <w:tc>
          <w:tcPr>
            <w:tcW w:w="3340" w:type="dxa"/>
            <w:vAlign w:val="center"/>
          </w:tcPr>
          <w:p w14:paraId="0B142F3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题量</w:t>
            </w:r>
          </w:p>
        </w:tc>
        <w:tc>
          <w:tcPr>
            <w:tcW w:w="2784" w:type="dxa"/>
            <w:vAlign w:val="center"/>
          </w:tcPr>
          <w:p w14:paraId="6FB00BF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r>
      <w:tr w14:paraId="4ABE3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604" w:type="dxa"/>
            <w:vMerge w:val="restart"/>
            <w:vAlign w:val="center"/>
          </w:tcPr>
          <w:p w14:paraId="3AAE627B">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技能辨别题</w:t>
            </w:r>
          </w:p>
        </w:tc>
        <w:tc>
          <w:tcPr>
            <w:tcW w:w="3340" w:type="dxa"/>
            <w:vAlign w:val="center"/>
          </w:tcPr>
          <w:p w14:paraId="6260B124">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单选题10题</w:t>
            </w:r>
          </w:p>
        </w:tc>
        <w:tc>
          <w:tcPr>
            <w:tcW w:w="2784" w:type="dxa"/>
            <w:vAlign w:val="center"/>
          </w:tcPr>
          <w:p w14:paraId="6C69AE68">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20</w:t>
            </w:r>
          </w:p>
        </w:tc>
      </w:tr>
      <w:tr w14:paraId="2C8B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604" w:type="dxa"/>
            <w:vMerge w:val="continue"/>
            <w:vAlign w:val="center"/>
          </w:tcPr>
          <w:p w14:paraId="5CE9A270">
            <w:pPr>
              <w:jc w:val="center"/>
              <w:rPr>
                <w:rFonts w:hint="eastAsia" w:ascii="仿宋_GB2312" w:hAnsi="仿宋_GB2312" w:eastAsia="仿宋_GB2312" w:cs="仿宋_GB2312"/>
                <w:sz w:val="24"/>
                <w:szCs w:val="24"/>
                <w:lang w:val="zh-CN" w:eastAsia="zh-CN"/>
              </w:rPr>
            </w:pPr>
          </w:p>
        </w:tc>
        <w:tc>
          <w:tcPr>
            <w:tcW w:w="3340" w:type="dxa"/>
            <w:vAlign w:val="center"/>
          </w:tcPr>
          <w:p w14:paraId="29F3A8FD">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多选题5题</w:t>
            </w:r>
          </w:p>
        </w:tc>
        <w:tc>
          <w:tcPr>
            <w:tcW w:w="2784" w:type="dxa"/>
            <w:vAlign w:val="center"/>
          </w:tcPr>
          <w:p w14:paraId="18BCF460">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10</w:t>
            </w:r>
          </w:p>
        </w:tc>
      </w:tr>
      <w:tr w14:paraId="31E9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604" w:type="dxa"/>
            <w:vMerge w:val="continue"/>
            <w:vAlign w:val="center"/>
          </w:tcPr>
          <w:p w14:paraId="4F5907FB">
            <w:pPr>
              <w:jc w:val="center"/>
              <w:rPr>
                <w:rFonts w:hint="eastAsia" w:ascii="仿宋" w:hAnsi="仿宋" w:eastAsia="仿宋" w:cs="仿宋"/>
                <w:sz w:val="24"/>
                <w:szCs w:val="24"/>
                <w:highlight w:val="none"/>
                <w:lang w:eastAsia="zh-CN"/>
                <w:woUserID w:val="1"/>
              </w:rPr>
            </w:pPr>
          </w:p>
        </w:tc>
        <w:tc>
          <w:tcPr>
            <w:tcW w:w="3340" w:type="dxa"/>
            <w:vAlign w:val="center"/>
          </w:tcPr>
          <w:p w14:paraId="08C76DE9">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判断题10题</w:t>
            </w:r>
          </w:p>
        </w:tc>
        <w:tc>
          <w:tcPr>
            <w:tcW w:w="2784" w:type="dxa"/>
            <w:vAlign w:val="center"/>
          </w:tcPr>
          <w:p w14:paraId="02F093F8">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10</w:t>
            </w:r>
          </w:p>
        </w:tc>
      </w:tr>
      <w:tr w14:paraId="713C1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2604" w:type="dxa"/>
            <w:vAlign w:val="center"/>
          </w:tcPr>
          <w:p w14:paraId="5482EA0A">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技能操作题</w:t>
            </w:r>
          </w:p>
        </w:tc>
        <w:tc>
          <w:tcPr>
            <w:tcW w:w="3340" w:type="dxa"/>
            <w:vAlign w:val="center"/>
          </w:tcPr>
          <w:p w14:paraId="7783371D">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实训操作题3题</w:t>
            </w:r>
          </w:p>
        </w:tc>
        <w:tc>
          <w:tcPr>
            <w:tcW w:w="2784" w:type="dxa"/>
            <w:vAlign w:val="center"/>
          </w:tcPr>
          <w:p w14:paraId="19A491A7">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60</w:t>
            </w:r>
          </w:p>
        </w:tc>
      </w:tr>
      <w:tr w14:paraId="560D8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604" w:type="dxa"/>
            <w:vAlign w:val="center"/>
          </w:tcPr>
          <w:p w14:paraId="16FF0AFF">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合计</w:t>
            </w:r>
          </w:p>
        </w:tc>
        <w:tc>
          <w:tcPr>
            <w:tcW w:w="3340" w:type="dxa"/>
            <w:vAlign w:val="center"/>
          </w:tcPr>
          <w:p w14:paraId="2A1DC7A4">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28题</w:t>
            </w:r>
          </w:p>
        </w:tc>
        <w:tc>
          <w:tcPr>
            <w:tcW w:w="2784" w:type="dxa"/>
            <w:vAlign w:val="center"/>
          </w:tcPr>
          <w:p w14:paraId="55BA00E3">
            <w:pPr>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100</w:t>
            </w:r>
          </w:p>
        </w:tc>
      </w:tr>
    </w:tbl>
    <w:p w14:paraId="5F7110F8">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3.成绩评定</w:t>
      </w:r>
    </w:p>
    <w:p w14:paraId="31410E6C">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赛项为团队赛，最终成绩按百分制折算，即最终成绩=财务决策竞赛环节成绩*80%+数字化企业内部控制与风险管理竞赛环节成绩*20%。（如遇到成绩相同则以财务决策竞赛环节成绩排名，若财务决策竞赛环节成绩也相同，则以该环节提交成绩时间先后顺序确定排名），确定比赛名次。</w:t>
      </w:r>
    </w:p>
    <w:p w14:paraId="64D6729F">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ascii="黑体" w:hAnsi="黑体" w:eastAsia="黑体" w:cs="黑体"/>
          <w:bCs/>
          <w:sz w:val="30"/>
          <w:szCs w:val="30"/>
        </w:rPr>
      </w:pPr>
      <w:bookmarkStart w:id="16" w:name="_Toc24727"/>
      <w:bookmarkStart w:id="17" w:name="_Toc16072"/>
      <w:r>
        <w:rPr>
          <w:rFonts w:hint="eastAsia" w:ascii="黑体" w:hAnsi="黑体" w:eastAsia="黑体" w:cs="黑体"/>
          <w:bCs/>
          <w:sz w:val="32"/>
          <w:szCs w:val="32"/>
        </w:rPr>
        <w:t>九、奖项设置</w:t>
      </w:r>
      <w:bookmarkEnd w:id="16"/>
      <w:bookmarkEnd w:id="17"/>
    </w:p>
    <w:p w14:paraId="03447E81">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18" w:name="_Toc523933020"/>
      <w:bookmarkStart w:id="19" w:name="_Toc23978"/>
      <w:bookmarkStart w:id="20" w:name="_Toc19767"/>
      <w:r>
        <w:rPr>
          <w:rFonts w:hint="eastAsia" w:ascii="仿宋_GB2312" w:hAnsi="仿宋_GB2312" w:eastAsia="仿宋_GB2312" w:cs="仿宋_GB2312"/>
          <w:sz w:val="32"/>
          <w:szCs w:val="32"/>
        </w:rPr>
        <w:t>（1）参赛团队奖：大赛设一等奖、二等奖、三等奖。总体获奖比例不超过参赛队伍总数的40%（获奖队伍数量取小数点后四舍五入）。</w:t>
      </w:r>
    </w:p>
    <w:p w14:paraId="772BEFBA">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（2）指导教师奖：获得一等奖的参赛队指导教师由组委会颁发优秀指导教师称号。</w:t>
      </w:r>
    </w:p>
    <w:p w14:paraId="5770C1EA">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r>
        <w:rPr>
          <w:rFonts w:hint="eastAsia" w:ascii="黑体" w:hAnsi="黑体" w:eastAsia="黑体" w:cs="黑体"/>
          <w:bCs/>
          <w:sz w:val="32"/>
          <w:szCs w:val="32"/>
        </w:rPr>
        <w:t>十、比赛细则</w:t>
      </w:r>
      <w:bookmarkEnd w:id="18"/>
      <w:bookmarkEnd w:id="19"/>
      <w:bookmarkEnd w:id="20"/>
    </w:p>
    <w:p w14:paraId="669D246B">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团队比赛：选手4人自由组队，以院校为单位组队参加大赛。实名制参赛，每个参赛者只能代表一支队伍参加比赛，本着诚实诚信的原则，比赛全过程仅限本人参与，如查出参赛者和报名者不符，将取消参赛资格。</w:t>
      </w:r>
    </w:p>
    <w:p w14:paraId="2395AA25">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.参赛选手须按照规定时间参加所报赛程，否则视为弃权。</w:t>
      </w:r>
    </w:p>
    <w:p w14:paraId="7B343F31">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.每场比赛参赛队需在规定时间内完成系统的要求，如无法完成，系统将会进行相应的扣分处理。</w:t>
      </w:r>
    </w:p>
    <w:p w14:paraId="659A90DD">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严禁携带手机、U盘等储存设备及其他相关资料进入赛场，严禁用其他通讯工具与赛场外或组外人员交流。</w:t>
      </w:r>
    </w:p>
    <w:p w14:paraId="0B9D2079">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如由于不可抗力因素导致参赛队比赛数据丢失或中断，赛务组不承担相应责任。</w:t>
      </w:r>
      <w:bookmarkStart w:id="21" w:name="_Toc523933021"/>
    </w:p>
    <w:p w14:paraId="765AC493">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.参赛选手在比赛期间未经赛项组委会的批准不得接受其他单位和个人进行的与比赛内容相关的采访。任何选手未经允许不得将比赛的相关信息擅自公布。</w:t>
      </w:r>
    </w:p>
    <w:p w14:paraId="21E53B35">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.其它未涉事项或突发事件，由大赛组委会负责解释或</w:t>
      </w:r>
      <w:r>
        <w:rPr>
          <w:rFonts w:hint="default" w:ascii="仿宋_GB2312" w:hAnsi="仿宋_GB2312" w:eastAsia="仿宋_GB2312" w:cs="仿宋_GB2312"/>
          <w:sz w:val="32"/>
          <w:szCs w:val="32"/>
        </w:rPr>
        <w:t>决</w:t>
      </w:r>
      <w:r>
        <w:rPr>
          <w:rFonts w:hint="eastAsia" w:ascii="仿宋_GB2312" w:hAnsi="仿宋_GB2312" w:eastAsia="仿宋_GB2312" w:cs="仿宋_GB2312"/>
          <w:sz w:val="32"/>
          <w:szCs w:val="32"/>
        </w:rPr>
        <w:t>定。</w:t>
      </w:r>
    </w:p>
    <w:p w14:paraId="699D1015">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ascii="黑体" w:hAnsi="黑体" w:eastAsia="黑体" w:cs="黑体"/>
          <w:bCs/>
          <w:sz w:val="30"/>
          <w:szCs w:val="30"/>
        </w:rPr>
      </w:pPr>
      <w:bookmarkStart w:id="22" w:name="_Toc13761"/>
      <w:bookmarkStart w:id="23" w:name="_Toc27626"/>
      <w:r>
        <w:rPr>
          <w:rFonts w:hint="eastAsia" w:ascii="黑体" w:hAnsi="黑体" w:eastAsia="黑体" w:cs="黑体"/>
          <w:bCs/>
          <w:sz w:val="32"/>
          <w:szCs w:val="32"/>
        </w:rPr>
        <w:t>十一、比赛环境要求</w:t>
      </w:r>
      <w:bookmarkEnd w:id="21"/>
      <w:bookmarkEnd w:id="22"/>
      <w:bookmarkEnd w:id="23"/>
    </w:p>
    <w:p w14:paraId="4F50CECC">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1.所在网域的带宽条件须10M以上，参赛选手应确保参赛的网络环境符合带宽条件。如由于选手的网络环境条件不足造成数据丢失或比赛中断，由选手自行承担后果。</w:t>
      </w:r>
    </w:p>
    <w:p w14:paraId="211BA89B">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2.本次比赛需选手携带笔记本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需提前安装</w:t>
      </w:r>
      <w:r>
        <w:rPr>
          <w:rFonts w:hint="eastAsia" w:ascii="仿宋_GB2312" w:hAnsi="仿宋_GB2312" w:eastAsia="仿宋_GB2312" w:cs="仿宋_GB2312"/>
          <w:sz w:val="32"/>
          <w:szCs w:val="32"/>
        </w:rPr>
        <w:t>谷歌浏览器。</w:t>
      </w:r>
    </w:p>
    <w:p w14:paraId="5BFBB96B">
      <w:pPr>
        <w:keepNext w:val="0"/>
        <w:keepLines w:val="0"/>
        <w:pageBreakBefore w:val="0"/>
        <w:kinsoku/>
        <w:wordWrap/>
        <w:overflowPunct/>
        <w:topLinePunct w:val="0"/>
        <w:autoSpaceDE/>
        <w:autoSpaceDN/>
        <w:bidi w:val="0"/>
        <w:adjustRightInd/>
        <w:spacing w:line="560" w:lineRule="exact"/>
        <w:ind w:left="0" w:firstLine="640" w:firstLineChars="200"/>
        <w:textAlignment w:val="auto"/>
        <w:outlineLvl w:val="0"/>
        <w:rPr>
          <w:rFonts w:hint="eastAsia" w:ascii="黑体" w:hAnsi="黑体" w:eastAsia="黑体" w:cs="黑体"/>
          <w:bCs/>
          <w:sz w:val="32"/>
          <w:szCs w:val="32"/>
        </w:rPr>
      </w:pPr>
      <w:bookmarkStart w:id="24" w:name="_Toc18994"/>
      <w:bookmarkStart w:id="25" w:name="_Toc523933023"/>
      <w:bookmarkStart w:id="26" w:name="_Toc32401"/>
      <w:r>
        <w:rPr>
          <w:rFonts w:hint="eastAsia" w:ascii="黑体" w:hAnsi="黑体" w:eastAsia="黑体" w:cs="黑体"/>
          <w:bCs/>
          <w:sz w:val="32"/>
          <w:szCs w:val="32"/>
        </w:rPr>
        <w:t>十二、联系方式</w:t>
      </w:r>
      <w:bookmarkEnd w:id="24"/>
      <w:bookmarkEnd w:id="25"/>
      <w:bookmarkEnd w:id="26"/>
    </w:p>
    <w:p w14:paraId="620E6D34">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大赛咨询热线：</w:t>
      </w:r>
      <w:r>
        <w:rPr>
          <w:rFonts w:hint="eastAsia" w:ascii="仿宋_GB2312" w:hAnsi="仿宋_GB2312" w:eastAsia="仿宋_GB2312" w:cs="仿宋_GB2312"/>
          <w:sz w:val="32"/>
          <w:szCs w:val="32"/>
          <w:lang w:val="en-US" w:eastAsia="en-US"/>
        </w:rPr>
        <w:t>刘</w:t>
      </w:r>
      <w:r>
        <w:rPr>
          <w:rFonts w:hint="eastAsia" w:ascii="仿宋_GB2312" w:hAnsi="仿宋_GB2312" w:eastAsia="仿宋_GB2312" w:cs="仿宋_GB2312"/>
          <w:sz w:val="32"/>
          <w:szCs w:val="32"/>
          <w:lang w:val="en-US" w:eastAsia="zh-CN"/>
        </w:rPr>
        <w:t>老师 18730442297</w:t>
      </w:r>
    </w:p>
    <w:p w14:paraId="5A274953">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大赛QQ群：</w:t>
      </w:r>
      <w:r>
        <w:rPr>
          <w:rFonts w:hint="eastAsia" w:ascii="仿宋_GB2312" w:hAnsi="仿宋_GB2312" w:eastAsia="仿宋_GB2312" w:cs="仿宋_GB2312"/>
          <w:sz w:val="32"/>
          <w:szCs w:val="32"/>
          <w:lang w:val="en-US" w:eastAsia="zh-CN"/>
        </w:rPr>
        <w:t>763482909</w:t>
      </w:r>
      <w:r>
        <w:rPr>
          <w:rFonts w:hint="eastAsia" w:ascii="仿宋_GB2312" w:hAnsi="仿宋_GB2312" w:eastAsia="仿宋_GB2312" w:cs="仿宋_GB2312"/>
          <w:sz w:val="32"/>
          <w:szCs w:val="32"/>
        </w:rPr>
        <w:t>（限指导老师及最终参赛选手加入）</w:t>
      </w:r>
    </w:p>
    <w:p w14:paraId="04FDE92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本次大赛的最终解</w:t>
      </w:r>
      <w:bookmarkStart w:id="27" w:name="_GoBack"/>
      <w:bookmarkEnd w:id="27"/>
      <w:r>
        <w:rPr>
          <w:rFonts w:hint="eastAsia" w:ascii="仿宋_GB2312" w:hAnsi="仿宋_GB2312" w:eastAsia="仿宋_GB2312" w:cs="仿宋_GB2312"/>
          <w:sz w:val="32"/>
          <w:szCs w:val="32"/>
        </w:rPr>
        <w:t>释权归大赛组委会所有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9004">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14:paraId="71BF33D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129F1343"/>
    <w:rsid w:val="00145468"/>
    <w:rsid w:val="00237A6E"/>
    <w:rsid w:val="00A30E17"/>
    <w:rsid w:val="00F439BF"/>
    <w:rsid w:val="026505CF"/>
    <w:rsid w:val="03214CC3"/>
    <w:rsid w:val="032963BD"/>
    <w:rsid w:val="06BA5E46"/>
    <w:rsid w:val="07BE1E2B"/>
    <w:rsid w:val="0AC66581"/>
    <w:rsid w:val="0F234C69"/>
    <w:rsid w:val="129F1343"/>
    <w:rsid w:val="131B2827"/>
    <w:rsid w:val="17AD02DE"/>
    <w:rsid w:val="1918115B"/>
    <w:rsid w:val="1A0334EA"/>
    <w:rsid w:val="2C1C208F"/>
    <w:rsid w:val="2CD54AF3"/>
    <w:rsid w:val="2E861381"/>
    <w:rsid w:val="2F302818"/>
    <w:rsid w:val="314F33F3"/>
    <w:rsid w:val="32C860F6"/>
    <w:rsid w:val="366A9E42"/>
    <w:rsid w:val="37BFF4B0"/>
    <w:rsid w:val="37F0777C"/>
    <w:rsid w:val="381A7089"/>
    <w:rsid w:val="395104A1"/>
    <w:rsid w:val="3AD924FC"/>
    <w:rsid w:val="3BE178BA"/>
    <w:rsid w:val="3DFAAE4E"/>
    <w:rsid w:val="3FA054A0"/>
    <w:rsid w:val="42211B54"/>
    <w:rsid w:val="4583699D"/>
    <w:rsid w:val="477F605D"/>
    <w:rsid w:val="4A780BAE"/>
    <w:rsid w:val="4B476430"/>
    <w:rsid w:val="4C5E3CF7"/>
    <w:rsid w:val="4F6A37EF"/>
    <w:rsid w:val="4F90038B"/>
    <w:rsid w:val="5076286F"/>
    <w:rsid w:val="512C5CF6"/>
    <w:rsid w:val="5654495B"/>
    <w:rsid w:val="570A4620"/>
    <w:rsid w:val="5F0279C4"/>
    <w:rsid w:val="61D27EB7"/>
    <w:rsid w:val="62D43425"/>
    <w:rsid w:val="642F5753"/>
    <w:rsid w:val="65864EAB"/>
    <w:rsid w:val="65E9368C"/>
    <w:rsid w:val="67EEAE47"/>
    <w:rsid w:val="68C7034F"/>
    <w:rsid w:val="6AC41FD2"/>
    <w:rsid w:val="6B397E06"/>
    <w:rsid w:val="6BFF2AD8"/>
    <w:rsid w:val="6DD01FF3"/>
    <w:rsid w:val="6EBC53D2"/>
    <w:rsid w:val="78A95FDA"/>
    <w:rsid w:val="79720E94"/>
    <w:rsid w:val="7A680BCB"/>
    <w:rsid w:val="7B0F3104"/>
    <w:rsid w:val="7FBA02A7"/>
    <w:rsid w:val="A7F772C3"/>
    <w:rsid w:val="BCC237CC"/>
    <w:rsid w:val="BFD3570C"/>
    <w:rsid w:val="D31B6D9C"/>
    <w:rsid w:val="EE7F34C4"/>
    <w:rsid w:val="F37F2FA1"/>
    <w:rsid w:val="F79DA673"/>
    <w:rsid w:val="F7DDDC94"/>
    <w:rsid w:val="F7FF3A27"/>
    <w:rsid w:val="FBFFA9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semiHidden/>
    <w:qFormat/>
    <w:uiPriority w:val="0"/>
    <w:rPr>
      <w:rFonts w:ascii="宋体" w:hAnsi="宋体" w:cs="宋体"/>
      <w:sz w:val="28"/>
      <w:szCs w:val="28"/>
      <w:lang w:eastAsia="en-US"/>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paragraph" w:customStyle="1" w:styleId="11">
    <w:name w:val="WPSOffice手动目录 1"/>
    <w:qFormat/>
    <w:uiPriority w:val="0"/>
    <w:rPr>
      <w:rFonts w:ascii="Times New Roman" w:hAnsi="Times New Roman" w:eastAsia="宋体" w:cs="Times New Roman"/>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潮州市饶平县机关及下属单位</Company>
  <Pages>8</Pages>
  <Words>3589</Words>
  <Characters>3760</Characters>
  <Lines>1</Lines>
  <Paragraphs>1</Paragraphs>
  <TotalTime>2</TotalTime>
  <ScaleCrop>false</ScaleCrop>
  <LinksUpToDate>false</LinksUpToDate>
  <CharactersWithSpaces>3811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2023-08-30T05:26:00Z</dcterms:created>
  <dc:creator>等不到天亮等时光</dc:creator>
  <cp:lastModifiedBy>mzm</cp:lastModifiedBy>
  <cp:lastPrinted>2025-05-30T08:19:16Z</cp:lastPrinted>
  <dcterms:modified xsi:type="dcterms:W3CDTF">2025-05-30T08:19:50Z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8DDCDF6C95B148368958AAB6BF9968CB_13</vt:lpwstr>
  </property>
  <property fmtid="{D5CDD505-2E9C-101B-9397-08002B2CF9AE}" pid="4" name="KSOTemplateDocerSaveRecord">
    <vt:lpwstr>eyJoZGlkIjoiOTM4MjkxMjliZDkzNDFkNGMzMDQ2MTA2MWU0YWExMTkiLCJ1c2VySWQiOiI0Mjg0NTMxNjYifQ==</vt:lpwstr>
  </property>
</Properties>
</file>